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附件1</w:t>
      </w:r>
    </w:p>
    <w:p>
      <w:pPr>
        <w:keepNext w:val="0"/>
        <w:keepLines w:val="0"/>
        <w:pageBreakBefore w:val="0"/>
        <w:kinsoku/>
        <w:wordWrap/>
        <w:overflowPunct/>
        <w:topLinePunct w:val="0"/>
        <w:autoSpaceDE/>
        <w:autoSpaceDN/>
        <w:bidi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讲师简介：</w:t>
      </w:r>
    </w:p>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（1）冯雪娟 北京国科税通科技发展有限公司副总经理</w:t>
      </w:r>
    </w:p>
    <w:p>
      <w:pPr>
        <w:keepNext w:val="0"/>
        <w:keepLines w:val="0"/>
        <w:pageBreakBefore w:val="0"/>
        <w:kinsoku/>
        <w:wordWrap/>
        <w:overflowPunct/>
        <w:topLinePunct w:val="0"/>
        <w:autoSpaceDE/>
        <w:autoSpaceDN/>
        <w:bidi w:val="0"/>
        <w:spacing w:line="560" w:lineRule="exact"/>
        <w:ind w:firstLine="1928" w:firstLineChars="600"/>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中级经济师、国家孵化器从业人员培训师</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从事科技服务工作长达11年，积累了丰富的企业服务经验，长期致力于企业研究开发费用税前加计扣除政策的研究、解读与企业研发项目（费用）管理服务平台的设计、建设与推广，同时，主导编制了《企业研究开发费用税前加计扣除政策解读、填报实务及云平台操作手册》。先后在新疆、山东、河北省等地，通过座谈培训、视频培训等方式，培训企业1600余家万人次。2018年7月—8月，受科技部火炬中心邀请，相继前往广东省深圳市、江苏省南京市、陕西省西安市，主讲了全国科技型中小企业评价工作暨企业研发费用加计扣除培训班，主要针对科技型中小企业研发费用加计扣除政策、企业研发项目（费用）管理服务平台标准版及科小企业专用版平台的操作步骤等内容，同时，为火炬中心编制了“科技型中小企业支持政策汇编”，促进全国各省市地区企业合法合规享受所得税优惠政策。</w:t>
      </w:r>
    </w:p>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32"/>
          <w:szCs w:val="32"/>
          <w:lang w:val="en-US" w:eastAsia="zh-CN"/>
        </w:rPr>
      </w:pPr>
    </w:p>
    <w:p>
      <w:pPr>
        <w:pStyle w:val="2"/>
        <w:keepNext w:val="0"/>
        <w:keepLines w:val="0"/>
        <w:pageBreakBefore w:val="0"/>
        <w:kinsoku/>
        <w:wordWrap/>
        <w:overflowPunct/>
        <w:topLinePunct w:val="0"/>
        <w:autoSpaceDE/>
        <w:autoSpaceDN/>
        <w:bidi w:val="0"/>
        <w:spacing w:line="560" w:lineRule="exact"/>
        <w:textAlignment w:val="auto"/>
        <w:rPr>
          <w:rFonts w:hint="eastAsia"/>
          <w:lang w:val="en-US" w:eastAsia="zh-CN"/>
        </w:rPr>
      </w:pPr>
    </w:p>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32"/>
          <w:szCs w:val="32"/>
          <w:lang w:val="en-US" w:eastAsia="zh-CN"/>
        </w:rPr>
      </w:pPr>
    </w:p>
    <w:p>
      <w:pPr>
        <w:pStyle w:val="2"/>
        <w:rPr>
          <w:rFonts w:hint="eastAsia"/>
          <w:lang w:val="en-US" w:eastAsia="zh-CN"/>
        </w:rPr>
      </w:pPr>
    </w:p>
    <w:p>
      <w:pPr>
        <w:keepNext w:val="0"/>
        <w:keepLines w:val="0"/>
        <w:pageBreakBefore w:val="0"/>
        <w:widowControl/>
        <w:kinsoku/>
        <w:wordWrap/>
        <w:overflowPunct/>
        <w:topLinePunct w:val="0"/>
        <w:autoSpaceDE/>
        <w:autoSpaceDN/>
        <w:bidi w:val="0"/>
        <w:snapToGrid w:val="0"/>
        <w:spacing w:line="560" w:lineRule="exact"/>
        <w:jc w:val="left"/>
        <w:textAlignment w:val="auto"/>
        <w:rPr>
          <w:rFonts w:hint="eastAsia" w:ascii="仿宋" w:hAnsi="仿宋" w:eastAsia="仿宋" w:cs="仿宋"/>
          <w:b/>
          <w:bCs/>
          <w:color w:val="000000"/>
          <w:kern w:val="0"/>
          <w:sz w:val="32"/>
          <w:szCs w:val="32"/>
          <w:lang w:val="en-US" w:eastAsia="zh-CN"/>
        </w:rPr>
      </w:pPr>
      <w:bookmarkStart w:id="0" w:name="OLE_LINK8"/>
      <w:bookmarkStart w:id="1" w:name="OLE_LINK7"/>
      <w:r>
        <w:rPr>
          <w:rFonts w:hint="eastAsia" w:ascii="仿宋" w:hAnsi="仿宋" w:eastAsia="仿宋" w:cs="仿宋"/>
          <w:b/>
          <w:bCs/>
          <w:color w:val="000000"/>
          <w:kern w:val="0"/>
          <w:sz w:val="32"/>
          <w:szCs w:val="32"/>
          <w:lang w:eastAsia="zh-CN"/>
        </w:rPr>
        <w:t>（</w:t>
      </w:r>
      <w:r>
        <w:rPr>
          <w:rFonts w:hint="eastAsia" w:ascii="仿宋" w:hAnsi="仿宋" w:eastAsia="仿宋" w:cs="仿宋"/>
          <w:b/>
          <w:bCs/>
          <w:color w:val="000000"/>
          <w:kern w:val="0"/>
          <w:sz w:val="32"/>
          <w:szCs w:val="32"/>
          <w:lang w:val="en-US" w:eastAsia="zh-CN"/>
        </w:rPr>
        <w:t>2</w:t>
      </w:r>
      <w:r>
        <w:rPr>
          <w:rFonts w:hint="eastAsia" w:ascii="仿宋" w:hAnsi="仿宋" w:eastAsia="仿宋" w:cs="仿宋"/>
          <w:b/>
          <w:bCs/>
          <w:color w:val="000000"/>
          <w:kern w:val="0"/>
          <w:sz w:val="32"/>
          <w:szCs w:val="32"/>
          <w:lang w:eastAsia="zh-CN"/>
        </w:rPr>
        <w:t>）</w:t>
      </w:r>
      <w:r>
        <w:rPr>
          <w:rFonts w:hint="eastAsia" w:ascii="仿宋" w:hAnsi="仿宋" w:eastAsia="仿宋" w:cs="仿宋"/>
          <w:b/>
          <w:bCs/>
          <w:color w:val="000000"/>
          <w:kern w:val="0"/>
          <w:sz w:val="32"/>
          <w:szCs w:val="32"/>
        </w:rPr>
        <w:t>江根生</w:t>
      </w:r>
      <w:r>
        <w:rPr>
          <w:rFonts w:hint="eastAsia" w:ascii="仿宋" w:hAnsi="仿宋" w:eastAsia="仿宋" w:cs="仿宋"/>
          <w:b/>
          <w:bCs/>
          <w:color w:val="000000"/>
          <w:kern w:val="0"/>
          <w:sz w:val="32"/>
          <w:szCs w:val="32"/>
          <w:lang w:val="en-US" w:eastAsia="zh-CN"/>
        </w:rPr>
        <w:t xml:space="preserve"> </w:t>
      </w:r>
      <w:r>
        <w:rPr>
          <w:rFonts w:hint="eastAsia" w:ascii="仿宋" w:hAnsi="仿宋" w:eastAsia="仿宋" w:cs="仿宋"/>
          <w:b/>
          <w:bCs/>
          <w:color w:val="000000"/>
          <w:kern w:val="0"/>
          <w:sz w:val="32"/>
          <w:szCs w:val="32"/>
          <w:lang w:eastAsia="zh-CN"/>
        </w:rPr>
        <w:t>北京国科税通科技发展有限公司</w:t>
      </w:r>
      <w:r>
        <w:rPr>
          <w:rFonts w:hint="eastAsia" w:ascii="仿宋" w:hAnsi="仿宋" w:eastAsia="仿宋" w:cs="仿宋"/>
          <w:b/>
          <w:bCs/>
          <w:color w:val="000000"/>
          <w:kern w:val="0"/>
          <w:sz w:val="32"/>
          <w:szCs w:val="32"/>
          <w:lang w:val="en-US" w:eastAsia="zh-CN"/>
        </w:rPr>
        <w:t>技术总监</w:t>
      </w:r>
    </w:p>
    <w:p>
      <w:pPr>
        <w:keepNext w:val="0"/>
        <w:keepLines w:val="0"/>
        <w:pageBreakBefore w:val="0"/>
        <w:widowControl/>
        <w:kinsoku/>
        <w:wordWrap/>
        <w:overflowPunct/>
        <w:topLinePunct w:val="0"/>
        <w:autoSpaceDE/>
        <w:autoSpaceDN/>
        <w:bidi w:val="0"/>
        <w:snapToGrid w:val="0"/>
        <w:spacing w:line="560" w:lineRule="exact"/>
        <w:ind w:firstLine="1928" w:firstLineChars="600"/>
        <w:jc w:val="left"/>
        <w:textAlignment w:val="auto"/>
        <w:rPr>
          <w:rFonts w:hint="eastAsia"/>
          <w:lang w:eastAsia="zh-CN"/>
        </w:rPr>
      </w:pPr>
      <w:r>
        <w:rPr>
          <w:rFonts w:hint="eastAsia" w:ascii="仿宋" w:hAnsi="仿宋" w:eastAsia="仿宋" w:cs="仿宋"/>
          <w:b/>
          <w:bCs/>
          <w:color w:val="000000"/>
          <w:kern w:val="0"/>
          <w:sz w:val="32"/>
          <w:szCs w:val="32"/>
          <w:lang w:val="en-US" w:eastAsia="zh-CN"/>
        </w:rPr>
        <w:t>高级</w:t>
      </w:r>
      <w:r>
        <w:rPr>
          <w:rFonts w:hint="eastAsia" w:ascii="仿宋" w:hAnsi="仿宋" w:eastAsia="仿宋" w:cs="仿宋"/>
          <w:b/>
          <w:bCs/>
          <w:color w:val="000000"/>
          <w:kern w:val="0"/>
          <w:sz w:val="32"/>
          <w:szCs w:val="32"/>
        </w:rPr>
        <w:t>经济师</w:t>
      </w:r>
      <w:r>
        <w:rPr>
          <w:rFonts w:hint="eastAsia" w:ascii="仿宋" w:hAnsi="仿宋" w:eastAsia="仿宋" w:cs="仿宋"/>
          <w:b/>
          <w:bCs/>
          <w:color w:val="000000"/>
          <w:kern w:val="0"/>
          <w:sz w:val="32"/>
          <w:szCs w:val="32"/>
          <w:lang w:eastAsia="zh-CN"/>
        </w:rPr>
        <w:t>、</w:t>
      </w:r>
      <w:r>
        <w:rPr>
          <w:rFonts w:hint="eastAsia" w:ascii="仿宋" w:hAnsi="仿宋" w:eastAsia="仿宋" w:cs="仿宋"/>
          <w:b/>
          <w:bCs/>
          <w:color w:val="000000"/>
          <w:kern w:val="0"/>
          <w:sz w:val="32"/>
          <w:szCs w:val="32"/>
        </w:rPr>
        <w:t>创新创业辅导</w:t>
      </w:r>
      <w:r>
        <w:rPr>
          <w:rFonts w:hint="eastAsia" w:ascii="仿宋" w:hAnsi="仿宋" w:eastAsia="仿宋" w:cs="仿宋"/>
          <w:b/>
          <w:bCs/>
          <w:color w:val="000000"/>
          <w:kern w:val="0"/>
          <w:sz w:val="32"/>
          <w:szCs w:val="32"/>
          <w:lang w:val="en-US"/>
        </w:rPr>
        <w:t>师</w:t>
      </w:r>
    </w:p>
    <w:bookmarkEnd w:id="0"/>
    <w:bookmarkEnd w:id="1"/>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作为国内首批开展研发费用加计扣除的研究人员，经过近10年的研究及实际操作，对该政策理论体系、执行方法、发展预期等有着丰富的实务操作经验和体会，著有《企业研发费用加计扣除操作手册》及《研发费用加计扣除政策汇编》，2013年以来受中国生产力促进中心协会等邀请相继在北京、上海、南京等地，为全国各省生产力促进中心及近万家企业做了《研发费用加计扣除实务操作》专项培训。获得2015-2016年度中国生产力协会“杰出贡献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培训课程围绕“高新技术企业”、“科技型中小企业”开展的研发项目管理实务课程，从研发费用加计扣除政策、企业研发体系构成基本要素、财务会计制度对研发活动定义及申报流程等方面能够进行全面阐述，对具体案例分析透彻，内容丰富、观点鲜明、理论与实际结合，具有很强的现实指导意义。</w:t>
      </w:r>
    </w:p>
    <w:p>
      <w:pPr>
        <w:rPr>
          <w:rFonts w:hint="eastAsia" w:ascii="仿宋" w:hAnsi="仿宋" w:eastAsia="仿宋" w:cs="仿宋"/>
          <w:sz w:val="32"/>
          <w:szCs w:val="32"/>
          <w:lang w:val="en-US" w:eastAsia="zh-CN"/>
        </w:rPr>
      </w:pPr>
    </w:p>
    <w:p>
      <w:pPr>
        <w:pStyle w:val="2"/>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p>
    <w:p>
      <w:pPr>
        <w:pStyle w:val="2"/>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spacing w:line="560" w:lineRule="atLeast"/>
        <w:ind w:right="0" w:rightChars="0"/>
        <w:jc w:val="both"/>
        <w:textAlignment w:val="auto"/>
        <w:rPr>
          <w:rFonts w:hint="eastAsia" w:ascii="宋体" w:hAnsi="宋体" w:eastAsia="宋体" w:cs="宋体"/>
          <w:b/>
          <w:bCs/>
          <w:sz w:val="32"/>
          <w:szCs w:val="32"/>
          <w:lang w:val="en-US" w:eastAsia="zh-CN"/>
        </w:rPr>
      </w:pPr>
      <w:bookmarkStart w:id="2" w:name="_GoBack"/>
      <w:bookmarkEnd w:id="2"/>
    </w:p>
    <w:p/>
    <w:p/>
    <w:sectPr>
      <w:headerReference r:id="rId3" w:type="default"/>
      <w:footerReference r:id="rId4" w:type="default"/>
      <w:pgSz w:w="11906" w:h="16838"/>
      <w:pgMar w:top="2098" w:right="1587" w:bottom="2098" w:left="1587" w:header="851" w:footer="992" w:gutter="0"/>
      <w:pgNumType w:fmt="numberInDash"/>
      <w:cols w:space="72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ourier New">
    <w:panose1 w:val="02070309020205020404"/>
    <w:charset w:val="00"/>
    <w:family w:val="auto"/>
    <w:pitch w:val="default"/>
    <w:sig w:usb0="E0002AFF" w:usb1="C0007843" w:usb2="00000009" w:usb3="00000000" w:csb0="400001FF" w:csb1="FFFF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HszzUgbAgAAIwQAAA4A&#10;AAAAAAAAAQAgAAAAHwEAAGRycy9lMm9Eb2MueG1sUEsFBgAAAAAGAAYAWQEAAKwFAAAAAA==&#10;">
              <v:path/>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DB312C"/>
    <w:rsid w:val="23763306"/>
    <w:rsid w:val="6ADB312C"/>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spacing w:before="104" w:beforeLines="0" w:after="104" w:afterLines="0"/>
      <w:outlineLvl w:val="2"/>
    </w:pPr>
  </w:style>
  <w:style w:type="character" w:default="1" w:styleId="5">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7">
    <w:name w:val="Table Grid"/>
    <w:basedOn w:val="6"/>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南海高新技术产业开发区管委会</Company>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2018-11-15T08:32:00Z</dcterms:created>
  <dc:creator>Administrator</dc:creator>
  <cp:lastModifiedBy>Administrator</cp:lastModifiedBy>
  <dcterms:modified xsi:type="dcterms:W3CDTF">2018-11-15T08:34:06Z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