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0"/>
        <w:jc w:val="both"/>
        <w:outlineLvl w:val="0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附件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bidi="ar-SA"/>
        </w:rPr>
        <w:t>2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outlineLvl w:val="1"/>
        <w:rPr>
          <w:rFonts w:hint="default" w:ascii="Times New Roman" w:hAnsi="Times New Roman" w:eastAsia="方正小标宋简体" w:cs="Times New Roman"/>
          <w:kern w:val="2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pacing w:val="0"/>
          <w:kern w:val="2"/>
          <w:sz w:val="44"/>
          <w:szCs w:val="44"/>
        </w:rPr>
        <w:t>专精特新中小企业认定标准</w:t>
      </w:r>
    </w:p>
    <w:bookmarkEnd w:id="0"/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黑体" w:cs="Times New Roman"/>
          <w:spacing w:val="0"/>
          <w:kern w:val="2"/>
          <w:sz w:val="32"/>
          <w:szCs w:val="32"/>
          <w:lang w:bidi="ar-SA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ind w:firstLine="640" w:firstLineChars="200"/>
        <w:jc w:val="both"/>
        <w:textAlignment w:val="auto"/>
        <w:outlineLvl w:val="2"/>
        <w:rPr>
          <w:rFonts w:hint="default" w:ascii="Times New Roman" w:hAnsi="Times New Roman" w:eastAsia="黑体" w:cs="Times New Roman"/>
          <w:spacing w:val="0"/>
          <w:kern w:val="2"/>
          <w:sz w:val="32"/>
          <w:szCs w:val="32"/>
          <w:lang w:bidi="ar-SA"/>
        </w:rPr>
      </w:pPr>
      <w:r>
        <w:rPr>
          <w:rFonts w:hint="default" w:ascii="Times New Roman" w:hAnsi="Times New Roman" w:eastAsia="黑体" w:cs="Times New Roman"/>
          <w:spacing w:val="0"/>
          <w:kern w:val="2"/>
          <w:sz w:val="32"/>
          <w:szCs w:val="32"/>
        </w:rPr>
        <w:t>一、</w:t>
      </w:r>
      <w:r>
        <w:rPr>
          <w:rFonts w:hint="default" w:ascii="Times New Roman" w:hAnsi="Times New Roman" w:eastAsia="黑体" w:cs="Times New Roman"/>
          <w:spacing w:val="0"/>
          <w:kern w:val="2"/>
          <w:sz w:val="32"/>
          <w:szCs w:val="32"/>
          <w:lang w:bidi="ar-SA"/>
        </w:rPr>
        <w:t>认定条件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同时满足以下四项条件即视为满足认定条件：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（一）从事特定细分市场时间达到2年以上。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（二）上年度研发费用总额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不低于100万元，且占营业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收入总额比重不低于3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%。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（三）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上年度营业收入总额在1000万元以上，或上年度营业收入总额在1000万元以下，但近2年新增股权融资总额（合格机构投资者的实缴额）达到2000万元以上。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（四）评价得分达到70分以上或满足下列条件之一：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right="0" w:righ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1.近三年获得过省级科技奖励，并在获奖单位中排名前三；或获得国家级科技奖励，并在获奖单位中排名前五。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right="0" w:righ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2.近两年研发费用总额均值在1000万元以上。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right="0" w:rightChars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3.近两年新增股权融资总额（合格机构投资者的实缴额）6000万元以上。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4.近三年进入“创客中国”中小企业创新创业大赛全国500强企业组名单。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ind w:left="0" w:right="0" w:firstLine="640" w:firstLineChars="200"/>
        <w:jc w:val="both"/>
        <w:textAlignment w:val="auto"/>
        <w:outlineLvl w:val="2"/>
        <w:rPr>
          <w:rFonts w:hint="default" w:ascii="Times New Roman" w:hAnsi="Times New Roman" w:eastAsia="黑体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黑体" w:cs="Times New Roman"/>
          <w:spacing w:val="0"/>
          <w:kern w:val="2"/>
          <w:sz w:val="32"/>
          <w:szCs w:val="32"/>
        </w:rPr>
        <w:t>二、评价指标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包括专业化、精细化、特色化和创新能力四类十三个指标，评价结果依分值计算，满分为100分。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ind w:left="0" w:firstLine="640" w:firstLineChars="200"/>
        <w:jc w:val="both"/>
        <w:textAlignment w:val="auto"/>
        <w:outlineLvl w:val="3"/>
        <w:rPr>
          <w:rFonts w:hint="default" w:ascii="Times New Roman" w:hAnsi="Times New Roman" w:eastAsia="楷体_GB2312" w:cs="Times New Roman"/>
          <w:spacing w:val="0"/>
          <w:kern w:val="2"/>
          <w:sz w:val="32"/>
          <w:szCs w:val="32"/>
          <w:lang w:bidi="ar-SA"/>
        </w:rPr>
      </w:pPr>
      <w:r>
        <w:rPr>
          <w:rFonts w:hint="default" w:ascii="Times New Roman" w:hAnsi="Times New Roman" w:eastAsia="楷体_GB2312" w:cs="Times New Roman"/>
          <w:spacing w:val="0"/>
          <w:kern w:val="2"/>
          <w:sz w:val="32"/>
          <w:szCs w:val="32"/>
          <w:lang w:bidi="ar-SA"/>
        </w:rPr>
        <w:t>（一）专业化指标（满分25分）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1.上年度主营业务收入总额占营业收入总额比重（满分5分）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A.80%以上（5分）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B.70%-80%（3分）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C.60%-70%（1分）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D.60%以下（0分）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2.近2年主营业务收入平均增长率（满分10分）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A.10%以上（10分）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B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.8%-1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0%（8分）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C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.6%-8%（6分）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D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.4%-6%（4分）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E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.0%-4%（2分）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F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.0%以下（0分）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3.从事特定细分市场年限（满分5分）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每满2年得1分，最高不超过5分。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4.主导产品所属领域情况（满分5分）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A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.在产业链供应链关键环节及关键领域“补短板”“锻长板”“填空白”取得实际成效（5分）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B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.属于工业“六基”领域、中华老字号名录或企业主导产品服务关键产业链重点龙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头企业（3分）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C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.不属于以上情况（0分）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ind w:left="0" w:firstLine="640" w:firstLineChars="200"/>
        <w:jc w:val="both"/>
        <w:textAlignment w:val="auto"/>
        <w:outlineLvl w:val="3"/>
        <w:rPr>
          <w:rFonts w:hint="default" w:ascii="Times New Roman" w:hAnsi="Times New Roman" w:eastAsia="楷体_GB2312" w:cs="Times New Roman"/>
          <w:spacing w:val="0"/>
          <w:kern w:val="2"/>
          <w:sz w:val="32"/>
          <w:szCs w:val="32"/>
          <w:lang w:bidi="ar-SA"/>
        </w:rPr>
      </w:pPr>
      <w:r>
        <w:rPr>
          <w:rFonts w:hint="default" w:ascii="Times New Roman" w:hAnsi="Times New Roman" w:eastAsia="楷体_GB2312" w:cs="Times New Roman"/>
          <w:spacing w:val="0"/>
          <w:kern w:val="2"/>
          <w:sz w:val="32"/>
          <w:szCs w:val="32"/>
          <w:lang w:bidi="ar-SA"/>
        </w:rPr>
        <w:t>（二）精细化指标（满分25分）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5.数字化水平（满分5分）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righ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A.三级以上（5分）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righ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B.二级（3分）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righ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C.一级（0分）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6.质量管理水平（每满足一项加3分，最高不超过5分）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A.获得省级以上质量奖荣誉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B.建立质量管理体系，获得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ISO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9001等质量管理体系认证证书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C.拥有自主品牌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D.参与制修订标准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7.上年度净利润率（满分10分）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A.10%以上（10分）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B.8%-1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0%（8分）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C.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6%-8%（6分）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D.4%-6%（4分）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E.2%-4%（2分）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F.2%以下（0分）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8.上年度资产负债率（满分5分）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A.50%以下（5分）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B.50%-60%（3分）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C.60%-70%（1分）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D.70%以上（0分）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ind w:left="0" w:firstLine="640" w:firstLineChars="200"/>
        <w:jc w:val="both"/>
        <w:textAlignment w:val="auto"/>
        <w:outlineLvl w:val="3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楷体_GB2312" w:cs="Times New Roman"/>
          <w:spacing w:val="0"/>
          <w:kern w:val="2"/>
          <w:sz w:val="32"/>
          <w:szCs w:val="32"/>
          <w:lang w:bidi="ar-SA"/>
        </w:rPr>
        <w:t>（三）特色化指标（满分15分）</w:t>
      </w:r>
      <w:r>
        <w:rPr>
          <w:rFonts w:hint="default" w:ascii="Times New Roman" w:hAnsi="Times New Roman" w:eastAsia="黑体" w:cs="Times New Roman"/>
          <w:spacing w:val="0"/>
          <w:kern w:val="2"/>
          <w:sz w:val="32"/>
          <w:szCs w:val="32"/>
        </w:rPr>
        <w:t>（由广东省自主设定）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9.特色化指标（最高不超过15分）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 w:val="0"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A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bidi="ar-SA"/>
        </w:rPr>
        <w:t>从事细分产品市场属于制造业核心基础零部件、元器件、关键软件、先进基础工艺、关键基础材料和产业技术基础；或符合制造强国战略十大重点产业领域；或属于网络强国建设的信息基础设施、关键核心技术、网络安全、数据安全领域等产品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 w:val="0"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B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.掌握特色工艺、技术、配方或服务，并有相关专利技术或其它相关支撑材料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bidi="ar-SA"/>
        </w:rPr>
        <w:t>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 w:val="0"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C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.被认定为省级及以上首台（套）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bidi="ar-SA"/>
        </w:rPr>
        <w:t>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 w:val="0"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D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.纳入国家绿色制造名单（绿色园区除外）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bidi="ar-SA"/>
        </w:rPr>
        <w:t>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 w:val="0"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E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.近三年进入“创客广东”中小企业创新创业大赛广东省100强企业组名单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bidi="ar-SA"/>
        </w:rPr>
        <w:t>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 w:val="0"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F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.近三年企业获得“省长杯”工业设计大赛决赛优秀奖及以上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bidi="ar-SA"/>
        </w:rPr>
        <w:t>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G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.拥有国家人才项目人员的企业加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bidi="ar-SA"/>
        </w:rPr>
        <w:t>5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分，拥有省级人才项目人员的企业加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bidi="ar-SA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分，拥有市级人才项目人员的企业加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bidi="ar-SA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分，向国家级人才项目推荐人选的企业加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bidi="ar-SA"/>
        </w:rPr>
        <w:t>1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分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ind w:left="0" w:firstLine="640" w:firstLineChars="200"/>
        <w:jc w:val="both"/>
        <w:textAlignment w:val="auto"/>
        <w:outlineLvl w:val="3"/>
        <w:rPr>
          <w:rFonts w:hint="default" w:ascii="Times New Roman" w:hAnsi="Times New Roman" w:eastAsia="楷体_GB2312" w:cs="Times New Roman"/>
          <w:spacing w:val="0"/>
          <w:kern w:val="2"/>
          <w:sz w:val="32"/>
          <w:szCs w:val="32"/>
          <w:lang w:bidi="ar-SA"/>
        </w:rPr>
      </w:pPr>
      <w:r>
        <w:rPr>
          <w:rFonts w:hint="default" w:ascii="Times New Roman" w:hAnsi="Times New Roman" w:eastAsia="楷体_GB2312" w:cs="Times New Roman"/>
          <w:spacing w:val="0"/>
          <w:kern w:val="2"/>
          <w:sz w:val="32"/>
          <w:szCs w:val="32"/>
          <w:lang w:bidi="ar-SA"/>
        </w:rPr>
        <w:t>（四）创新能力指标（满分35分）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10.与企业主导产品相关的有效知识产权数量（满分10分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A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.Ⅰ类高价值知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识产权1项以上（10分）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B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.自主研发Ⅰ类知识产权1项以上（8分）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C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.Ⅰ类知识产权1项以上（6分）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D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.Ⅱ类知识产权1项以上（2分）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E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.无（0分）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11.上年度研发费用投入（满分10分）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A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.研发费用总额500万元以上或研发费用总额占营业收入总额比重在10%以上（10分）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B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.研发费用总额400-500万元或研发费用总额占营业收入总额比重在8%-10%（8分）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C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.研发费用总额300-400万元或研发费用总额占营业收入总额比重在6%-8%（6分）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D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.研发费用总额200-300万元或研发费用总额占营业收入总额比重在4%-6%（4分）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E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.研发费用总额100-200万元或研发费用总额占营业收入总额比重在3%-4%（2分）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F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.不属于以上情况（0分）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12.上年度研发人员占比（满分5分）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A.20%以上（5分）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B.10%-20%（3分）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C.5%-10%（1分）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D.5%以下（0分）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13.建立研发机构级别（满分10分）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A.国家级（10分）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B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.省级（8分）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C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.市级（4分）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D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.市级以下（2分）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E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.未建立研发机构（0分）</w:t>
      </w:r>
    </w:p>
    <w:p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1" w:line="231" w:lineRule="auto"/>
        <w:ind w:left="23"/>
        <w:textAlignment w:val="auto"/>
        <w:outlineLvl w:val="0"/>
        <w:rPr>
          <w:rFonts w:hint="eastAsia" w:ascii="Times New Roman" w:hAnsi="Times New Roman" w:eastAsia="黑体" w:cs="Times New Roman"/>
          <w:sz w:val="31"/>
          <w:szCs w:val="31"/>
          <w:lang w:eastAsia="zh-CN"/>
        </w:rPr>
      </w:pPr>
      <w:r>
        <w:rPr>
          <w:rFonts w:ascii="黑体" w:hAnsi="黑体" w:eastAsia="黑体" w:cs="黑体"/>
          <w:spacing w:val="-20"/>
          <w:sz w:val="31"/>
          <w:szCs w:val="31"/>
        </w:rPr>
        <w:t xml:space="preserve">附件 </w:t>
      </w:r>
      <w:r>
        <w:rPr>
          <w:rFonts w:hint="eastAsia" w:ascii="Times New Roman" w:hAnsi="Times New Roman" w:cs="Times New Roman"/>
          <w:spacing w:val="-20"/>
          <w:sz w:val="31"/>
          <w:szCs w:val="31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1" w:line="185" w:lineRule="auto"/>
        <w:ind w:left="2750"/>
        <w:textAlignment w:val="auto"/>
        <w:outlineLvl w:val="1"/>
        <w:rPr>
          <w:rFonts w:ascii="微软雅黑" w:hAnsi="微软雅黑" w:eastAsia="微软雅黑" w:cs="微软雅黑"/>
          <w:sz w:val="35"/>
          <w:szCs w:val="35"/>
        </w:rPr>
      </w:pPr>
      <w:r>
        <w:rPr>
          <w:rFonts w:ascii="微软雅黑" w:hAnsi="微软雅黑" w:eastAsia="微软雅黑" w:cs="微软雅黑"/>
          <w:spacing w:val="9"/>
          <w:sz w:val="35"/>
          <w:szCs w:val="35"/>
        </w:rPr>
        <w:t>部分指标和要求说明</w:t>
      </w:r>
    </w:p>
    <w:p>
      <w:pPr>
        <w:spacing w:line="356" w:lineRule="auto"/>
        <w:rPr>
          <w:rFonts w:ascii="Arial"/>
          <w:sz w:val="21"/>
        </w:rPr>
      </w:pPr>
    </w:p>
    <w:p>
      <w:pPr>
        <w:spacing w:line="356" w:lineRule="auto"/>
        <w:rPr>
          <w:rFonts w:ascii="Arial"/>
          <w:sz w:val="21"/>
        </w:rPr>
      </w:pPr>
    </w:p>
    <w:p>
      <w:pPr>
        <w:spacing w:before="101" w:line="372" w:lineRule="auto"/>
        <w:ind w:left="14" w:right="97" w:firstLine="62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(一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)</w:t>
      </w:r>
      <w:r>
        <w:rPr>
          <w:rFonts w:hint="eastAsia" w:ascii="仿宋_GB2312" w:hAnsi="仿宋_GB2312" w:eastAsia="仿宋_GB2312" w:cs="仿宋_GB2312"/>
          <w:spacing w:val="3"/>
          <w:sz w:val="31"/>
          <w:szCs w:val="31"/>
        </w:rPr>
        <w:t xml:space="preserve"> 指标中如对期限无特殊说明，一般使用企业近 1 年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的年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度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数据，具体定义为：指企业上一完整会计年度，以企业</w:t>
      </w:r>
      <w:r>
        <w:rPr>
          <w:rFonts w:hint="eastAsia" w:ascii="仿宋_GB2312" w:hAnsi="仿宋_GB2312" w:eastAsia="仿宋_GB2312" w:cs="仿宋_GB2312"/>
          <w:spacing w:val="24"/>
          <w:sz w:val="31"/>
          <w:szCs w:val="31"/>
        </w:rPr>
        <w:t>上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一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年度审计报告期末数为准。对于存在子公司或母公司的企</w:t>
      </w:r>
      <w:r>
        <w:rPr>
          <w:rFonts w:hint="eastAsia" w:ascii="仿宋_GB2312" w:hAnsi="仿宋_GB2312" w:eastAsia="仿宋_GB2312" w:cs="仿宋_GB2312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业</w:t>
      </w:r>
      <w:r>
        <w:rPr>
          <w:rFonts w:hint="eastAsia" w:ascii="仿宋_GB2312" w:hAnsi="仿宋_GB2312" w:eastAsia="仿宋_GB2312" w:cs="仿宋_GB2312"/>
          <w:spacing w:val="15"/>
          <w:sz w:val="31"/>
          <w:szCs w:val="31"/>
        </w:rPr>
        <w:t>，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按财政部印发的《企业会计准则》有关规定执行。</w:t>
      </w:r>
    </w:p>
    <w:p>
      <w:pPr>
        <w:spacing w:before="2" w:line="371" w:lineRule="auto"/>
        <w:ind w:left="21" w:right="97" w:firstLine="619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二) 所称拥有自主品牌是指主营业务产品或服务具有自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主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知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识产权，且符合下列条件之一：</w:t>
      </w:r>
    </w:p>
    <w:p>
      <w:pPr>
        <w:spacing w:line="222" w:lineRule="auto"/>
        <w:ind w:left="67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1.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产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品或服务品牌已经国家知识产权局商标局正式注册。</w:t>
      </w:r>
    </w:p>
    <w:p>
      <w:pPr>
        <w:spacing w:before="251" w:line="222" w:lineRule="auto"/>
        <w:ind w:left="64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2</w:t>
      </w:r>
      <w:r>
        <w:rPr>
          <w:rFonts w:hint="eastAsia" w:ascii="仿宋_GB2312" w:hAnsi="仿宋_GB2312" w:eastAsia="仿宋_GB2312" w:cs="仿宋_GB2312"/>
          <w:spacing w:val="10"/>
          <w:sz w:val="31"/>
          <w:szCs w:val="31"/>
        </w:rPr>
        <w:t>.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产品或服务已经实现收入。</w:t>
      </w:r>
    </w:p>
    <w:p>
      <w:pPr>
        <w:spacing w:before="248" w:line="372" w:lineRule="auto"/>
        <w:ind w:firstLine="640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20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三</w:t>
      </w:r>
      <w:r>
        <w:rPr>
          <w:rFonts w:hint="eastAsia" w:ascii="仿宋_GB2312" w:hAnsi="仿宋_GB2312" w:eastAsia="仿宋_GB2312" w:cs="仿宋_GB2312"/>
          <w:spacing w:val="-10"/>
          <w:sz w:val="31"/>
          <w:szCs w:val="31"/>
        </w:rPr>
        <w:t>) 所称“Ⅰ类知识产权”包括发明专利(含国防专利)、</w:t>
      </w:r>
      <w:r>
        <w:rPr>
          <w:rFonts w:hint="eastAsia" w:ascii="仿宋_GB2312" w:hAnsi="仿宋_GB2312" w:eastAsia="仿宋_GB2312" w:cs="仿宋_GB2312"/>
          <w:spacing w:val="17"/>
          <w:sz w:val="31"/>
          <w:szCs w:val="31"/>
        </w:rPr>
        <w:t>植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物新品种、国家级农作物品种、国家新药、国家一级中药保</w:t>
      </w:r>
      <w:r>
        <w:rPr>
          <w:rFonts w:hint="eastAsia" w:ascii="仿宋_GB2312" w:hAnsi="仿宋_GB2312" w:eastAsia="仿宋_GB2312" w:cs="仿宋_GB2312"/>
          <w:spacing w:val="17"/>
          <w:sz w:val="31"/>
          <w:szCs w:val="31"/>
        </w:rPr>
        <w:t>护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品种、集成电路布图设计专有权 (均不包含转让未满 1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年的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知识产权)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。</w:t>
      </w:r>
    </w:p>
    <w:p>
      <w:pPr>
        <w:spacing w:line="221" w:lineRule="auto"/>
        <w:ind w:left="640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(四) 所称“Ⅰ类高价值知识产权”须符合以下条件之一</w:t>
      </w:r>
      <w:r>
        <w:rPr>
          <w:rFonts w:hint="eastAsia" w:ascii="仿宋_GB2312" w:hAnsi="仿宋_GB2312" w:eastAsia="仿宋_GB2312" w:cs="仿宋_GB2312"/>
          <w:spacing w:val="-8"/>
          <w:sz w:val="31"/>
          <w:szCs w:val="31"/>
        </w:rPr>
        <w:t>：</w:t>
      </w:r>
    </w:p>
    <w:p>
      <w:pPr>
        <w:spacing w:before="251" w:line="372" w:lineRule="auto"/>
        <w:ind w:left="2" w:right="97" w:firstLine="670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8"/>
          <w:sz w:val="31"/>
          <w:szCs w:val="31"/>
        </w:rPr>
        <w:t>1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.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在海外有同族专利权的发明专利或在海外取得收入的其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他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Ⅰ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类知识产权，其中专利限G20成员、新加坡以及欧洲专利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局经实质审查后获得授权的发明专利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。</w:t>
      </w:r>
    </w:p>
    <w:p>
      <w:pPr>
        <w:spacing w:line="624" w:lineRule="exact"/>
        <w:ind w:left="64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14"/>
          <w:position w:val="23"/>
          <w:sz w:val="31"/>
          <w:szCs w:val="31"/>
        </w:rPr>
        <w:t>2</w:t>
      </w:r>
      <w:r>
        <w:rPr>
          <w:rFonts w:hint="eastAsia" w:ascii="仿宋_GB2312" w:hAnsi="仿宋_GB2312" w:eastAsia="仿宋_GB2312" w:cs="仿宋_GB2312"/>
          <w:spacing w:val="-10"/>
          <w:position w:val="23"/>
          <w:sz w:val="31"/>
          <w:szCs w:val="31"/>
        </w:rPr>
        <w:t>.维持年限超过10年的Ⅰ类知识产权。</w:t>
      </w:r>
    </w:p>
    <w:p>
      <w:pPr>
        <w:spacing w:before="1" w:line="221" w:lineRule="auto"/>
        <w:ind w:left="648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3.</w:t>
      </w:r>
      <w:r>
        <w:rPr>
          <w:rFonts w:hint="eastAsia" w:ascii="仿宋_GB2312" w:hAnsi="仿宋_GB2312" w:eastAsia="仿宋_GB2312" w:cs="仿宋_GB2312"/>
          <w:spacing w:val="-10"/>
          <w:sz w:val="31"/>
          <w:szCs w:val="31"/>
        </w:rPr>
        <w:t>实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现较高质押融资金额的Ⅰ类知识产权。</w:t>
      </w:r>
    </w:p>
    <w:p>
      <w:pPr>
        <w:rPr>
          <w:rFonts w:hint="eastAsia" w:ascii="仿宋_GB2312" w:hAnsi="仿宋_GB2312" w:eastAsia="仿宋_GB2312" w:cs="仿宋_GB2312"/>
        </w:rPr>
        <w:sectPr>
          <w:footerReference r:id="rId3" w:type="default"/>
          <w:pgSz w:w="11906" w:h="16839"/>
          <w:pgMar w:top="1431" w:right="1491" w:bottom="1481" w:left="1591" w:header="0" w:footer="1294" w:gutter="0"/>
          <w:cols w:space="720" w:num="1"/>
        </w:sectPr>
      </w:pPr>
    </w:p>
    <w:p>
      <w:pPr>
        <w:spacing w:line="323" w:lineRule="auto"/>
        <w:rPr>
          <w:rFonts w:hint="eastAsia" w:ascii="仿宋_GB2312" w:hAnsi="仿宋_GB2312" w:eastAsia="仿宋_GB2312" w:cs="仿宋_GB2312"/>
          <w:sz w:val="21"/>
        </w:rPr>
      </w:pPr>
    </w:p>
    <w:p>
      <w:pPr>
        <w:spacing w:before="101" w:line="222" w:lineRule="auto"/>
        <w:ind w:left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4.</w:t>
      </w:r>
      <w:r>
        <w:rPr>
          <w:rFonts w:hint="eastAsia" w:ascii="仿宋_GB2312" w:hAnsi="仿宋_GB2312" w:eastAsia="仿宋_GB2312" w:cs="仿宋_GB2312"/>
          <w:spacing w:val="-5"/>
          <w:sz w:val="31"/>
          <w:szCs w:val="31"/>
        </w:rPr>
        <w:t>获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得国家科学技术奖或中国专利奖的Ⅰ类知识产权。</w:t>
      </w:r>
    </w:p>
    <w:p>
      <w:pPr>
        <w:spacing w:before="248" w:line="372" w:lineRule="auto"/>
        <w:ind w:left="3" w:right="6" w:firstLine="631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(五) 所称“Ⅱ类知识产权”包括与主导产品相</w:t>
      </w:r>
      <w:r>
        <w:rPr>
          <w:rFonts w:hint="eastAsia" w:ascii="仿宋_GB2312" w:hAnsi="仿宋_GB2312" w:eastAsia="仿宋_GB2312" w:cs="仿宋_GB2312"/>
          <w:sz w:val="31"/>
          <w:szCs w:val="31"/>
        </w:rPr>
        <w:t>关的软件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著作权(不含</w:t>
      </w:r>
      <w:r>
        <w:rPr>
          <w:rFonts w:hint="eastAsia" w:ascii="仿宋_GB2312" w:hAnsi="仿宋_GB2312" w:eastAsia="仿宋_GB2312" w:cs="仿宋_GB2312"/>
          <w:spacing w:val="3"/>
          <w:sz w:val="31"/>
          <w:szCs w:val="31"/>
        </w:rPr>
        <w:t>商标)、授权后维持超过2年的实用新型专利或外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观设计专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利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(均不包含转让未满1年的知识产权)。</w:t>
      </w:r>
    </w:p>
    <w:p>
      <w:pPr>
        <w:spacing w:before="3" w:line="371" w:lineRule="auto"/>
        <w:ind w:right="6" w:firstLine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(六) 所称“企业数字化转型水平”是指在优质</w:t>
      </w:r>
      <w:r>
        <w:rPr>
          <w:rFonts w:hint="eastAsia" w:ascii="仿宋_GB2312" w:hAnsi="仿宋_GB2312" w:eastAsia="仿宋_GB2312" w:cs="仿宋_GB2312"/>
          <w:sz w:val="31"/>
          <w:szCs w:val="31"/>
        </w:rPr>
        <w:t>中小企业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梯度培育平台完成数字化水平免费自测，具体自测网址、相关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标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准等事宜，另行明确。</w:t>
      </w:r>
    </w:p>
    <w:p>
      <w:pPr>
        <w:spacing w:before="3" w:line="371" w:lineRule="auto"/>
        <w:ind w:firstLine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(七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)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 xml:space="preserve"> 所称“重大安全(含网络安全、数据安全)、质量、</w:t>
      </w:r>
      <w:r>
        <w:rPr>
          <w:rFonts w:hint="eastAsia" w:ascii="仿宋_GB2312" w:hAnsi="仿宋_GB2312" w:eastAsia="仿宋_GB2312" w:cs="仿宋_GB2312"/>
          <w:spacing w:val="19"/>
          <w:sz w:val="31"/>
          <w:szCs w:val="31"/>
        </w:rPr>
        <w:t>环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境污染等事故”是指产品安全、生产安全、工程质量安全、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环境保护、网络安全等各级监管部门，依据《中华人民共和国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安全生产法》《中华人民共和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国环境保护法》《生产安全事故报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告和调查处理条例》《中华人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民共和国网络安全法》《中华人民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共和国数据安全法》等法律法规，最高人民法院、最高人民检察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院司法解释，部门规章以及地方法规等出具的判定意见。</w:t>
      </w:r>
    </w:p>
    <w:p>
      <w:pPr>
        <w:spacing w:before="3" w:line="367" w:lineRule="auto"/>
        <w:ind w:left="16" w:right="6" w:firstLine="619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八) 所称 “股权融资”是指公司股东稀释部分公司股权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给投资人，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以</w:t>
      </w:r>
      <w:r>
        <w:rPr>
          <w:rFonts w:hint="eastAsia" w:ascii="仿宋_GB2312" w:hAnsi="仿宋_GB2312" w:eastAsia="仿宋_GB2312" w:cs="仿宋_GB2312"/>
          <w:spacing w:val="-2"/>
          <w:sz w:val="31"/>
          <w:szCs w:val="31"/>
        </w:rPr>
        <w:t>增资扩股(出让股权不超过30%)的方式引进新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的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股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东，从而取得公司融资的方式。</w:t>
      </w:r>
    </w:p>
    <w:p>
      <w:pPr>
        <w:spacing w:before="21" w:line="375" w:lineRule="auto"/>
        <w:ind w:left="3" w:right="4" w:firstLine="631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4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九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) 所称“合格机构投资者”是指符合《创业投资企业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管理暂行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办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法》(发展改革委等 10 部门令第 39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号)或者《私募</w:t>
      </w:r>
      <w:r>
        <w:rPr>
          <w:rFonts w:hint="eastAsia" w:ascii="仿宋_GB2312" w:hAnsi="仿宋_GB2312" w:eastAsia="仿宋_GB2312" w:cs="仿宋_GB2312"/>
          <w:spacing w:val="-2"/>
          <w:sz w:val="31"/>
          <w:szCs w:val="31"/>
        </w:rPr>
        <w:t>投资基金监</w:t>
      </w:r>
      <w:r>
        <w:rPr>
          <w:rFonts w:hint="eastAsia" w:ascii="仿宋_GB2312" w:hAnsi="仿宋_GB2312" w:eastAsia="仿宋_GB2312" w:cs="仿宋_GB2312"/>
          <w:spacing w:val="-1"/>
          <w:sz w:val="31"/>
          <w:szCs w:val="31"/>
        </w:rPr>
        <w:t>督管理暂行办法》(证监会令第 105 号 )相关规定，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按照上述规定完成备案且规范运作的创业投资基金及私募股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权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投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资基金。</w:t>
      </w:r>
    </w:p>
    <w:p>
      <w:pPr>
        <w:spacing w:before="21" w:line="375" w:lineRule="auto"/>
        <w:ind w:left="3" w:right="4" w:firstLine="631"/>
        <w:rPr>
          <w:rFonts w:hint="eastAsia" w:ascii="仿宋_GB2312" w:hAnsi="仿宋_GB2312" w:eastAsia="仿宋_GB2312" w:cs="仿宋_GB2312"/>
          <w:spacing w:val="24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4"/>
          <w:sz w:val="31"/>
          <w:szCs w:val="31"/>
        </w:rPr>
        <w:t>(十) 所称“主导产品”是指企业核心技术在产品中发挥重要作用，且产品收入之和占企业同期营业收入比重超过50%。</w:t>
      </w:r>
    </w:p>
    <w:p>
      <w:pPr>
        <w:spacing w:before="194" w:line="383" w:lineRule="auto"/>
        <w:ind w:right="91" w:firstLine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(十一) 所称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“主导产品在全国细分市场占有率达10%以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上，且享有较高知名度和影响力”可通过企业自证或其他方式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佐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证。</w:t>
      </w:r>
    </w:p>
    <w:p>
      <w:pPr>
        <w:spacing w:before="6" w:line="371" w:lineRule="auto"/>
        <w:ind w:left="1" w:right="91" w:firstLine="634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(十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二) 所称“省级科技奖励”包括各省、自治区、直辖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市科学技术奖的一、二、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三等奖；“国家级科技奖励”包括国家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科学技术进步奖、国家自然科学奖、国家技术发明奖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  <w:lang w:eastAsia="zh-CN"/>
        </w:rPr>
        <w:t>，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以及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国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防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科技奖。</w:t>
      </w:r>
    </w:p>
    <w:p>
      <w:pPr>
        <w:spacing w:before="3" w:line="371" w:lineRule="auto"/>
        <w:ind w:left="2" w:right="18" w:firstLine="63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24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-19"/>
          <w:sz w:val="31"/>
          <w:szCs w:val="31"/>
        </w:rPr>
        <w:t>十</w:t>
      </w: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三) 如无特殊说明，所称“以上”、“以下”，包括本数；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所称的“超过”，不包括本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数。在计算评价指标得分时，如指标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值位于两个评分区间边界上，按高分计算得分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。</w:t>
      </w:r>
    </w:p>
    <w:p>
      <w:pPr>
        <w:spacing w:before="1" w:line="221" w:lineRule="auto"/>
        <w:ind w:left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7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18"/>
          <w:sz w:val="31"/>
          <w:szCs w:val="31"/>
        </w:rPr>
        <w:t>十四) 本办法部分指标计算公式</w:t>
      </w:r>
    </w:p>
    <w:p>
      <w:pPr>
        <w:spacing w:before="191" w:line="372" w:lineRule="auto"/>
        <w:ind w:left="26" w:right="91" w:firstLine="624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近 2 年主营业务收入平均增长率=(企业上一年度主营业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务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收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入增长率+企业上上年度主营业务收入增长率)/2。</w:t>
      </w:r>
    </w:p>
    <w:p>
      <w:pPr>
        <w:spacing w:before="5" w:line="371" w:lineRule="auto"/>
        <w:ind w:left="8" w:right="89" w:firstLine="636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企业上一年度主营业务收入增长率=(企业上一年度主营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业</w:t>
      </w:r>
      <w:r>
        <w:rPr>
          <w:rFonts w:hint="eastAsia" w:ascii="仿宋_GB2312" w:hAnsi="仿宋_GB2312" w:eastAsia="仿宋_GB2312" w:cs="仿宋_GB2312"/>
          <w:spacing w:val="20"/>
          <w:sz w:val="31"/>
          <w:szCs w:val="31"/>
        </w:rPr>
        <w:t>务收</w:t>
      </w:r>
      <w:r>
        <w:rPr>
          <w:rFonts w:hint="eastAsia" w:ascii="仿宋_GB2312" w:hAnsi="仿宋_GB2312" w:eastAsia="仿宋_GB2312" w:cs="仿宋_GB2312"/>
          <w:spacing w:val="10"/>
          <w:sz w:val="31"/>
          <w:szCs w:val="31"/>
        </w:rPr>
        <w:t>入总额-企业上上年度主营业务收入总额)/企业上上年度主</w:t>
      </w:r>
      <w:r>
        <w:rPr>
          <w:rFonts w:hint="eastAsia" w:ascii="仿宋_GB2312" w:hAnsi="仿宋_GB2312" w:eastAsia="仿宋_GB2312" w:cs="仿宋_GB2312"/>
          <w:spacing w:val="26"/>
          <w:sz w:val="31"/>
          <w:szCs w:val="31"/>
        </w:rPr>
        <w:t>营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业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务收入总额*100%。其他年度主营业务收入增长率计算方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法以此类推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。</w:t>
      </w:r>
    </w:p>
    <w:p>
      <w:pPr>
        <w:spacing w:before="5" w:line="371" w:lineRule="auto"/>
        <w:ind w:left="8" w:right="89" w:firstLine="636"/>
        <w:rPr>
          <w:rFonts w:hint="eastAsia" w:ascii="仿宋_GB2312" w:hAnsi="仿宋_GB2312" w:eastAsia="仿宋_GB2312" w:cs="仿宋_GB2312"/>
          <w:spacing w:val="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(十五) 所称“被列入经营异常名录”以国家企业信用信息公示系统(http://www.gsxt.gov.cn )查询结果为准；所称“严重失信主体名单”以信用中国(http://www.creditchina.gov.cn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)查询结果为准。</w:t>
      </w:r>
    </w:p>
    <w:p>
      <w:pPr>
        <w:spacing w:before="45" w:line="379" w:lineRule="auto"/>
        <w:ind w:left="20" w:firstLine="61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十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六) 所称“创客中国”中小企业创新创业大赛全国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500</w:t>
      </w:r>
      <w:r>
        <w:rPr>
          <w:rFonts w:hint="eastAsia" w:ascii="仿宋_GB2312" w:hAnsi="仿宋_GB2312" w:eastAsia="仿宋_GB2312" w:cs="仿宋_GB2312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3"/>
          <w:sz w:val="31"/>
          <w:szCs w:val="31"/>
        </w:rPr>
        <w:t>强、50 强企业组名单是指该大赛 2021 年以来正式发布的名单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。</w:t>
      </w:r>
    </w:p>
    <w:p/>
    <w:sectPr>
      <w:footerReference r:id="rId4" w:type="default"/>
      <w:pgSz w:w="11906" w:h="16839"/>
      <w:pgMar w:top="1431" w:right="1509" w:bottom="1481" w:left="1598" w:header="0" w:footer="12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4" w:lineRule="auto"/>
      <w:ind w:left="4261"/>
      <w:rPr>
        <w:rFonts w:ascii="Times New Roman" w:hAnsi="Times New Roman" w:eastAsia="Times New Roman" w:cs="Times New Roman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4" w:lineRule="auto"/>
      <w:ind w:left="4254"/>
      <w:rPr>
        <w:rFonts w:ascii="Times New Roman" w:hAnsi="Times New Roman" w:eastAsia="Times New Roman" w:cs="Times New Roman"/>
        <w:sz w:val="20"/>
        <w:szCs w:val="20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wZWRiMDJlZDMwYmY0Njk4NmVhYmQ1MDNhNDQzOGYifQ=="/>
  </w:docVars>
  <w:rsids>
    <w:rsidRoot w:val="0CC21656"/>
    <w:rsid w:val="04C45B84"/>
    <w:rsid w:val="081E6F51"/>
    <w:rsid w:val="0CC21656"/>
    <w:rsid w:val="653D1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省商务厅</Company>
  <Pages>9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2024-07-23T08:04:00Z</dcterms:created>
  <dc:creator>false</dc:creator>
  <cp:lastModifiedBy>陈思婷</cp:lastModifiedBy>
  <dcterms:modified xsi:type="dcterms:W3CDTF">2024-08-27T02:25:29Z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ICV">
    <vt:lpwstr>DBC4EA184A8142B58208CED13347FCEF_12</vt:lpwstr>
  </property>
</Properties>
</file>