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N/>
        <w:bidi w:val="0"/>
        <w:adjustRightInd/>
        <w:snapToGrid/>
        <w:spacing w:line="560" w:lineRule="exact"/>
        <w:jc w:val="center"/>
        <w:textAlignment w:val="auto"/>
        <w:rPr>
          <w:rFonts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佛山高新技术产业开发区管理委员会关于企业统计工作质效提升的资助实施细则</w:t>
      </w:r>
    </w:p>
    <w:p>
      <w:pPr>
        <w:keepNext w:val="0"/>
        <w:keepLines w:val="0"/>
        <w:pageBreakBefore w:val="0"/>
        <w:widowControl/>
        <w:kinsoku/>
        <w:wordWrap/>
        <w:overflowPunct/>
        <w:topLinePunct w:val="0"/>
        <w:autoSpaceDE w:val="0"/>
        <w:autoSpaceDN/>
        <w:bidi w:val="0"/>
        <w:adjustRightInd/>
        <w:snapToGrid/>
        <w:spacing w:line="560" w:lineRule="exact"/>
        <w:textAlignment w:val="auto"/>
        <w:rPr>
          <w:rFonts w:ascii="仿宋" w:hAnsi="仿宋" w:eastAsia="仿宋" w:cs="仿宋"/>
          <w:kern w:val="0"/>
          <w:sz w:val="24"/>
          <w:highlight w:val="none"/>
          <w:lang w:bidi="ar"/>
        </w:rPr>
      </w:pP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r>
        <w:rPr>
          <w:rFonts w:hint="eastAsia" w:ascii="黑体" w:hAnsi="黑体" w:eastAsia="黑体" w:cs="黑体"/>
          <w:sz w:val="32"/>
          <w:szCs w:val="32"/>
          <w:highlight w:val="none"/>
        </w:rPr>
        <w:t>第一章</w:t>
      </w:r>
      <w:r>
        <w:rPr>
          <w:rFonts w:ascii="黑体" w:hAnsi="黑体" w:eastAsia="黑体" w:cs="黑体"/>
          <w:sz w:val="32"/>
          <w:szCs w:val="32"/>
          <w:highlight w:val="none"/>
        </w:rPr>
        <w:t xml:space="preserve"> </w:t>
      </w:r>
      <w:r>
        <w:rPr>
          <w:rFonts w:hint="eastAsia" w:ascii="黑体" w:hAnsi="黑体" w:eastAsia="黑体" w:cs="黑体"/>
          <w:sz w:val="32"/>
          <w:szCs w:val="32"/>
          <w:highlight w:val="none"/>
        </w:rPr>
        <w:t>总则</w:t>
      </w: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第一条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lang w:bidi="ar"/>
        </w:rPr>
        <w:t>为进一步强化夯实佛山高新技术产业开发区</w:t>
      </w:r>
      <w:r>
        <w:rPr>
          <w:rFonts w:hint="eastAsia" w:ascii="仿宋" w:hAnsi="仿宋" w:eastAsia="仿宋" w:cs="Times New Roman"/>
          <w:sz w:val="32"/>
          <w:szCs w:val="32"/>
          <w:highlight w:val="none"/>
          <w:lang w:eastAsia="zh-CN" w:bidi="ar"/>
        </w:rPr>
        <w:t>（以下简称佛山高新区）</w:t>
      </w:r>
      <w:r>
        <w:rPr>
          <w:rFonts w:hint="eastAsia" w:ascii="仿宋" w:hAnsi="仿宋" w:eastAsia="仿宋" w:cs="Times New Roman"/>
          <w:sz w:val="32"/>
          <w:szCs w:val="32"/>
          <w:highlight w:val="none"/>
          <w:lang w:bidi="ar"/>
        </w:rPr>
        <w:t>火炬纳统企业统计基础工作，促使火炬月报、年报纳统企业统计工作科学化、规范化、制度化，</w:t>
      </w:r>
      <w:r>
        <w:rPr>
          <w:rFonts w:hint="eastAsia" w:ascii="仿宋" w:hAnsi="仿宋" w:eastAsia="仿宋"/>
          <w:bCs/>
          <w:sz w:val="32"/>
          <w:highlight w:val="none"/>
        </w:rPr>
        <w:t>佛山高新技术产业开发区管理委员会（以下简称佛山高新区管委会）</w:t>
      </w:r>
      <w:r>
        <w:rPr>
          <w:rFonts w:hint="eastAsia" w:ascii="仿宋" w:hAnsi="仿宋" w:eastAsia="仿宋" w:cs="Times New Roman"/>
          <w:sz w:val="32"/>
          <w:szCs w:val="32"/>
          <w:highlight w:val="none"/>
        </w:rPr>
        <w:t>决定开展企业统计工作质效提升评选工作，特制定本细则。</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第二条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本细则所称企业统计工作质效提升是指鼓励佛山高新区内纳入火炬统计企业的</w:t>
      </w:r>
      <w:bookmarkStart w:id="0" w:name="_Hlk57381307"/>
      <w:r>
        <w:rPr>
          <w:rFonts w:hint="eastAsia" w:ascii="仿宋" w:hAnsi="仿宋" w:eastAsia="仿宋" w:cs="Times New Roman"/>
          <w:sz w:val="32"/>
          <w:szCs w:val="32"/>
          <w:highlight w:val="none"/>
          <w:lang w:bidi="ar"/>
        </w:rPr>
        <w:t>专（兼）职统计人员</w:t>
      </w:r>
      <w:bookmarkEnd w:id="0"/>
      <w:r>
        <w:rPr>
          <w:rFonts w:hint="eastAsia" w:ascii="仿宋" w:hAnsi="仿宋" w:eastAsia="仿宋" w:cs="Times New Roman"/>
          <w:sz w:val="32"/>
          <w:szCs w:val="32"/>
          <w:highlight w:val="none"/>
        </w:rPr>
        <w:t>积极、负责地填报统计数据的工作。</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第三条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佛山高新区管委会在佛山高新区经济发展专项资金中安排一定财政资金用于健全统计人员工作激励机制，提高统计人员填报统计报表的积极性，进一步加强佛山高新区火炬统计管理工作，提高统计报表质量，以达到全面、真实、客观、科学反映佛山高新区高质量发展情况的目的。</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r>
        <w:rPr>
          <w:rFonts w:hint="eastAsia" w:ascii="黑体" w:hAnsi="黑体" w:eastAsia="黑体" w:cs="黑体"/>
          <w:sz w:val="32"/>
          <w:szCs w:val="32"/>
          <w:highlight w:val="none"/>
        </w:rPr>
        <w:t>第二章</w:t>
      </w:r>
      <w:r>
        <w:rPr>
          <w:rFonts w:ascii="黑体" w:hAnsi="黑体" w:eastAsia="黑体" w:cs="黑体"/>
          <w:sz w:val="32"/>
          <w:szCs w:val="32"/>
          <w:highlight w:val="none"/>
        </w:rPr>
        <w:t xml:space="preserve">  </w:t>
      </w:r>
      <w:r>
        <w:rPr>
          <w:rFonts w:hint="eastAsia" w:ascii="黑体" w:hAnsi="黑体" w:eastAsia="黑体" w:cs="黑体"/>
          <w:sz w:val="32"/>
          <w:szCs w:val="32"/>
          <w:highlight w:val="none"/>
        </w:rPr>
        <w:t>职责分工</w:t>
      </w: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第四条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佛山高新区管委会科技创新局（知识产权局）（以下简称科技创新局）的主要职责是：编制《佛山高新区企业统计工作质效提升评选方案》和企业统计工作质效提升的资助实施细则；编制申报指南和通知，组织开展申报、评选、立项、结题等工作；组织开展绩效评价；负责项目监督与管理，做</w:t>
      </w:r>
      <w:r>
        <w:rPr>
          <w:rFonts w:hint="eastAsia" w:ascii="仿宋" w:hAnsi="仿宋" w:eastAsia="仿宋" w:cs="Times New Roman"/>
          <w:sz w:val="32"/>
          <w:szCs w:val="32"/>
          <w:highlight w:val="none"/>
          <w:lang w:bidi="ar"/>
        </w:rPr>
        <w:t>好</w:t>
      </w:r>
      <w:r>
        <w:rPr>
          <w:rFonts w:hint="eastAsia" w:ascii="仿宋" w:hAnsi="仿宋" w:eastAsia="仿宋" w:cs="Times New Roman"/>
          <w:sz w:val="32"/>
          <w:szCs w:val="32"/>
          <w:highlight w:val="none"/>
        </w:rPr>
        <w:t>佛山高新区各园管理局</w:t>
      </w:r>
      <w:r>
        <w:rPr>
          <w:rFonts w:hint="eastAsia" w:ascii="仿宋" w:hAnsi="仿宋" w:eastAsia="仿宋" w:cs="Times New Roman"/>
          <w:sz w:val="32"/>
          <w:szCs w:val="32"/>
          <w:highlight w:val="none"/>
          <w:lang w:bidi="ar"/>
        </w:rPr>
        <w:t>的指导与监督工作；</w:t>
      </w:r>
      <w:r>
        <w:rPr>
          <w:rFonts w:hint="eastAsia" w:ascii="仿宋" w:hAnsi="仿宋" w:eastAsia="仿宋" w:cs="Times New Roman"/>
          <w:sz w:val="32"/>
          <w:szCs w:val="32"/>
          <w:highlight w:val="none"/>
        </w:rPr>
        <w:t>接受</w:t>
      </w:r>
      <w:r>
        <w:rPr>
          <w:rFonts w:ascii="仿宋" w:hAnsi="仿宋" w:eastAsia="仿宋" w:cs="Times New Roman"/>
          <w:sz w:val="32"/>
          <w:szCs w:val="32"/>
          <w:highlight w:val="none"/>
        </w:rPr>
        <w:t>佛山高新区</w:t>
      </w:r>
      <w:r>
        <w:rPr>
          <w:rFonts w:hint="eastAsia" w:ascii="仿宋" w:hAnsi="仿宋" w:eastAsia="仿宋" w:cs="Times New Roman"/>
          <w:sz w:val="32"/>
          <w:szCs w:val="32"/>
          <w:highlight w:val="none"/>
          <w:lang w:eastAsia="zh-CN"/>
        </w:rPr>
        <w:t>纪检监察工作委员会</w:t>
      </w:r>
      <w:r>
        <w:rPr>
          <w:rFonts w:hint="eastAsia" w:ascii="仿宋" w:hAnsi="仿宋" w:eastAsia="仿宋" w:cs="Times New Roman"/>
          <w:sz w:val="32"/>
          <w:szCs w:val="32"/>
          <w:highlight w:val="none"/>
        </w:rPr>
        <w:t>、佛山高新区管委会规划和财政局（以下简称规划和</w:t>
      </w:r>
      <w:r>
        <w:rPr>
          <w:rFonts w:ascii="仿宋" w:hAnsi="仿宋" w:eastAsia="仿宋" w:cs="Times New Roman"/>
          <w:sz w:val="32"/>
          <w:szCs w:val="32"/>
          <w:highlight w:val="none"/>
        </w:rPr>
        <w:t>财政</w:t>
      </w:r>
      <w:r>
        <w:rPr>
          <w:rFonts w:hint="eastAsia" w:ascii="仿宋" w:hAnsi="仿宋" w:eastAsia="仿宋" w:cs="Times New Roman"/>
          <w:sz w:val="32"/>
          <w:szCs w:val="32"/>
          <w:highlight w:val="none"/>
        </w:rPr>
        <w:t>局）等的监督。</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第五条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规划和财政局的主要职责是：按规定拨付资金；监督专项资金使用。</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第六条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佛山高新区各园管理局（以下简称各园管理局）的主要职责是：协助开展项目申报、评选及资金拨付等工作；按评审结果及各园政策兑现安排给予项目资金配套支持</w:t>
      </w:r>
      <w:r>
        <w:rPr>
          <w:rFonts w:hint="eastAsia" w:ascii="仿宋" w:hAnsi="仿宋" w:eastAsia="仿宋" w:cs="Times New Roman"/>
          <w:sz w:val="32"/>
          <w:szCs w:val="32"/>
          <w:highlight w:val="none"/>
          <w:lang w:bidi="ar"/>
        </w:rPr>
        <w:t>；</w:t>
      </w:r>
      <w:r>
        <w:rPr>
          <w:rFonts w:hint="eastAsia" w:ascii="仿宋" w:hAnsi="仿宋" w:eastAsia="仿宋"/>
          <w:sz w:val="32"/>
          <w:szCs w:val="32"/>
          <w:highlight w:val="none"/>
        </w:rPr>
        <w:t>对</w:t>
      </w:r>
      <w:r>
        <w:rPr>
          <w:rFonts w:hint="eastAsia" w:ascii="仿宋" w:hAnsi="仿宋" w:eastAsia="仿宋"/>
          <w:sz w:val="32"/>
          <w:szCs w:val="32"/>
          <w:highlight w:val="none"/>
          <w:lang w:bidi="ar"/>
        </w:rPr>
        <w:t>辖区内项目承担单位资金的使用进行指导与监督，</w:t>
      </w:r>
      <w:r>
        <w:rPr>
          <w:rFonts w:hint="eastAsia" w:ascii="仿宋" w:hAnsi="仿宋" w:eastAsia="仿宋"/>
          <w:sz w:val="32"/>
          <w:szCs w:val="32"/>
          <w:highlight w:val="none"/>
        </w:rPr>
        <w:t>及时反映和纠正资助资金使用过程中存在的问题</w:t>
      </w:r>
      <w:r>
        <w:rPr>
          <w:rFonts w:hint="eastAsia" w:ascii="仿宋" w:hAnsi="仿宋" w:eastAsia="仿宋"/>
          <w:sz w:val="32"/>
          <w:szCs w:val="32"/>
          <w:highlight w:val="none"/>
          <w:lang w:bidi="ar"/>
        </w:rPr>
        <w:t>；</w:t>
      </w:r>
      <w:r>
        <w:rPr>
          <w:rFonts w:hint="eastAsia" w:ascii="仿宋" w:hAnsi="仿宋" w:eastAsia="仿宋" w:cs="Times New Roman"/>
          <w:sz w:val="32"/>
          <w:szCs w:val="32"/>
          <w:highlight w:val="none"/>
        </w:rPr>
        <w:t>接受</w:t>
      </w:r>
      <w:r>
        <w:rPr>
          <w:rFonts w:hint="eastAsia" w:ascii="仿宋" w:hAnsi="仿宋" w:eastAsia="仿宋" w:cs="Times New Roman"/>
          <w:color w:val="auto"/>
          <w:sz w:val="32"/>
          <w:szCs w:val="32"/>
          <w:highlight w:val="none"/>
        </w:rPr>
        <w:t>科技创新局</w:t>
      </w:r>
      <w:r>
        <w:rPr>
          <w:rFonts w:hint="eastAsia" w:ascii="仿宋" w:hAnsi="仿宋" w:eastAsia="仿宋" w:cs="Times New Roman"/>
          <w:sz w:val="32"/>
          <w:szCs w:val="32"/>
          <w:highlight w:val="none"/>
        </w:rPr>
        <w:t>业务指导和监督。</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r>
        <w:rPr>
          <w:rFonts w:hint="eastAsia" w:ascii="黑体" w:hAnsi="黑体" w:eastAsia="黑体" w:cs="黑体"/>
          <w:sz w:val="32"/>
          <w:szCs w:val="32"/>
          <w:highlight w:val="none"/>
        </w:rPr>
        <w:t>第三章</w:t>
      </w:r>
      <w:r>
        <w:rPr>
          <w:rFonts w:ascii="黑体" w:hAnsi="黑体" w:eastAsia="黑体" w:cs="黑体"/>
          <w:sz w:val="32"/>
          <w:szCs w:val="32"/>
          <w:highlight w:val="none"/>
        </w:rPr>
        <w:t xml:space="preserve"> </w:t>
      </w:r>
      <w:r>
        <w:rPr>
          <w:rFonts w:hint="eastAsia" w:ascii="黑体" w:hAnsi="黑体" w:eastAsia="黑体" w:cs="黑体"/>
          <w:sz w:val="32"/>
          <w:szCs w:val="32"/>
          <w:highlight w:val="none"/>
        </w:rPr>
        <w:t>申报条件</w:t>
      </w: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第七条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申报企业统计工作质效提升工作经费补助的单位应当同时符合下列条件：</w:t>
      </w:r>
    </w:p>
    <w:p>
      <w:pPr>
        <w:keepNext w:val="0"/>
        <w:keepLines w:val="0"/>
        <w:pageBreakBefore w:val="0"/>
        <w:kinsoku/>
        <w:wordWrap/>
        <w:overflowPunct/>
        <w:topLinePunct w:val="0"/>
        <w:autoSpaceDN/>
        <w:bidi w:val="0"/>
        <w:adjustRightInd/>
        <w:snapToGrid/>
        <w:spacing w:line="560" w:lineRule="exact"/>
        <w:ind w:firstLine="643" w:firstLineChars="200"/>
        <w:textAlignment w:val="auto"/>
        <w:rPr>
          <w:rFonts w:ascii="仿宋" w:hAnsi="仿宋" w:eastAsia="仿宋" w:cs="Times New Roman"/>
          <w:bCs/>
          <w:sz w:val="32"/>
          <w:szCs w:val="32"/>
          <w:highlight w:val="none"/>
        </w:rPr>
      </w:pPr>
      <w:r>
        <w:rPr>
          <w:rFonts w:hint="eastAsia" w:ascii="楷体" w:hAnsi="楷体" w:eastAsia="楷体" w:cs="楷体"/>
          <w:b/>
          <w:bCs/>
          <w:color w:val="000000"/>
          <w:sz w:val="32"/>
          <w:szCs w:val="32"/>
          <w:highlight w:val="none"/>
          <w:shd w:val="clear" w:color="auto" w:fill="FFFFFF"/>
        </w:rPr>
        <w:t>（一）</w:t>
      </w:r>
      <w:r>
        <w:rPr>
          <w:rFonts w:hint="eastAsia" w:ascii="仿宋" w:hAnsi="仿宋" w:eastAsia="仿宋" w:cs="Times New Roman"/>
          <w:bCs/>
          <w:sz w:val="32"/>
          <w:szCs w:val="32"/>
          <w:highlight w:val="none"/>
        </w:rPr>
        <w:t>必须是</w:t>
      </w:r>
      <w:r>
        <w:rPr>
          <w:rFonts w:hint="eastAsia" w:ascii="仿宋" w:hAnsi="仿宋" w:eastAsia="仿宋" w:cs="Times New Roman"/>
          <w:bCs/>
          <w:sz w:val="32"/>
          <w:szCs w:val="32"/>
          <w:highlight w:val="none"/>
          <w:lang w:bidi="ar"/>
        </w:rPr>
        <w:t>佛山高新区纳入火炬统计</w:t>
      </w:r>
      <w:r>
        <w:rPr>
          <w:rFonts w:hint="eastAsia" w:ascii="仿宋" w:hAnsi="仿宋" w:eastAsia="仿宋" w:cs="Times New Roman"/>
          <w:bCs/>
          <w:sz w:val="32"/>
          <w:szCs w:val="32"/>
          <w:highlight w:val="none"/>
        </w:rPr>
        <w:t>的企业。</w:t>
      </w:r>
    </w:p>
    <w:p>
      <w:pPr>
        <w:keepNext w:val="0"/>
        <w:keepLines w:val="0"/>
        <w:pageBreakBefore w:val="0"/>
        <w:kinsoku/>
        <w:wordWrap/>
        <w:overflowPunct/>
        <w:topLinePunct w:val="0"/>
        <w:autoSpaceDN/>
        <w:bidi w:val="0"/>
        <w:adjustRightInd/>
        <w:snapToGrid/>
        <w:spacing w:line="560" w:lineRule="exact"/>
        <w:ind w:firstLine="643" w:firstLineChars="200"/>
        <w:textAlignment w:val="auto"/>
        <w:rPr>
          <w:rFonts w:ascii="仿宋" w:hAnsi="仿宋" w:eastAsia="仿宋" w:cs="Times New Roman"/>
          <w:bCs/>
          <w:sz w:val="32"/>
          <w:szCs w:val="32"/>
          <w:highlight w:val="none"/>
        </w:rPr>
      </w:pPr>
      <w:r>
        <w:rPr>
          <w:rFonts w:hint="eastAsia" w:ascii="楷体" w:hAnsi="楷体" w:eastAsia="楷体" w:cs="楷体"/>
          <w:b/>
          <w:bCs/>
          <w:color w:val="000000"/>
          <w:sz w:val="32"/>
          <w:szCs w:val="32"/>
          <w:highlight w:val="none"/>
          <w:shd w:val="clear" w:color="auto" w:fill="FFFFFF"/>
        </w:rPr>
        <w:t>（二）</w:t>
      </w:r>
      <w:r>
        <w:rPr>
          <w:rFonts w:hint="eastAsia" w:ascii="仿宋" w:hAnsi="仿宋" w:eastAsia="仿宋" w:cs="Times New Roman"/>
          <w:bCs/>
          <w:sz w:val="32"/>
          <w:szCs w:val="32"/>
          <w:highlight w:val="none"/>
        </w:rPr>
        <w:t>应在统计系统中完善企业基础信息，并在规定时间内按要求完成定期统计报表、临时性调查表等在线填报工作，承诺所填数据真实、有效、全面、准确。</w:t>
      </w:r>
    </w:p>
    <w:p>
      <w:pPr>
        <w:keepNext w:val="0"/>
        <w:keepLines w:val="0"/>
        <w:pageBreakBefore w:val="0"/>
        <w:kinsoku/>
        <w:wordWrap/>
        <w:overflowPunct/>
        <w:topLinePunct w:val="0"/>
        <w:autoSpaceDN/>
        <w:bidi w:val="0"/>
        <w:adjustRightInd/>
        <w:snapToGrid/>
        <w:spacing w:line="560" w:lineRule="exact"/>
        <w:ind w:firstLine="643" w:firstLineChars="200"/>
        <w:textAlignment w:val="auto"/>
        <w:rPr>
          <w:rFonts w:ascii="仿宋" w:hAnsi="仿宋" w:eastAsia="仿宋" w:cs="Times New Roman"/>
          <w:bCs/>
          <w:sz w:val="32"/>
          <w:szCs w:val="32"/>
          <w:highlight w:val="none"/>
        </w:rPr>
      </w:pPr>
      <w:r>
        <w:rPr>
          <w:rFonts w:hint="eastAsia" w:ascii="楷体" w:hAnsi="楷体" w:eastAsia="楷体" w:cs="楷体"/>
          <w:b/>
          <w:bCs/>
          <w:color w:val="000000"/>
          <w:sz w:val="32"/>
          <w:szCs w:val="32"/>
          <w:highlight w:val="none"/>
          <w:shd w:val="clear" w:color="auto" w:fill="FFFFFF"/>
        </w:rPr>
        <w:t>（三）</w:t>
      </w:r>
      <w:r>
        <w:rPr>
          <w:rFonts w:hint="eastAsia" w:ascii="仿宋" w:hAnsi="仿宋" w:eastAsia="仿宋" w:cs="Times New Roman"/>
          <w:bCs/>
          <w:sz w:val="32"/>
          <w:szCs w:val="32"/>
          <w:highlight w:val="none"/>
        </w:rPr>
        <w:t>安排</w:t>
      </w:r>
      <w:r>
        <w:rPr>
          <w:rFonts w:hint="eastAsia" w:ascii="仿宋" w:hAnsi="仿宋" w:eastAsia="仿宋" w:cs="Times New Roman"/>
          <w:bCs/>
          <w:sz w:val="32"/>
          <w:szCs w:val="32"/>
          <w:highlight w:val="none"/>
          <w:lang w:bidi="ar"/>
        </w:rPr>
        <w:t>专（兼）职统计人员</w:t>
      </w:r>
      <w:r>
        <w:rPr>
          <w:rFonts w:hint="eastAsia" w:ascii="仿宋" w:hAnsi="仿宋" w:eastAsia="仿宋" w:cs="Times New Roman"/>
          <w:bCs/>
          <w:sz w:val="32"/>
          <w:szCs w:val="32"/>
          <w:highlight w:val="none"/>
        </w:rPr>
        <w:t>负责统计信息系统网络平台的填报工作。</w:t>
      </w:r>
    </w:p>
    <w:p>
      <w:pPr>
        <w:keepNext w:val="0"/>
        <w:keepLines w:val="0"/>
        <w:pageBreakBefore w:val="0"/>
        <w:kinsoku/>
        <w:wordWrap/>
        <w:overflowPunct/>
        <w:topLinePunct w:val="0"/>
        <w:autoSpaceDN/>
        <w:bidi w:val="0"/>
        <w:adjustRightInd/>
        <w:snapToGrid/>
        <w:spacing w:line="560" w:lineRule="exact"/>
        <w:ind w:firstLine="643" w:firstLineChars="200"/>
        <w:textAlignment w:val="auto"/>
        <w:rPr>
          <w:rFonts w:ascii="仿宋" w:hAnsi="仿宋" w:eastAsia="仿宋" w:cs="Times New Roman"/>
          <w:bCs/>
          <w:sz w:val="32"/>
          <w:szCs w:val="32"/>
          <w:highlight w:val="none"/>
        </w:rPr>
      </w:pPr>
      <w:r>
        <w:rPr>
          <w:rFonts w:hint="eastAsia" w:ascii="楷体" w:hAnsi="楷体" w:eastAsia="楷体" w:cs="楷体"/>
          <w:b/>
          <w:bCs/>
          <w:color w:val="000000"/>
          <w:sz w:val="32"/>
          <w:szCs w:val="32"/>
          <w:highlight w:val="none"/>
          <w:shd w:val="clear" w:color="auto" w:fill="FFFFFF"/>
        </w:rPr>
        <w:t>（四）</w:t>
      </w:r>
      <w:r>
        <w:rPr>
          <w:rFonts w:hint="eastAsia" w:ascii="仿宋" w:hAnsi="仿宋" w:eastAsia="仿宋" w:cs="Times New Roman"/>
          <w:bCs/>
          <w:sz w:val="32"/>
          <w:szCs w:val="32"/>
          <w:highlight w:val="none"/>
        </w:rPr>
        <w:t>近三年内未发生重大安全事故、重大环境污染事故、无偷税漏税等违法违规情形。</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bCs/>
          <w:sz w:val="32"/>
          <w:szCs w:val="32"/>
          <w:highlight w:val="none"/>
        </w:rPr>
      </w:pP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r>
        <w:rPr>
          <w:rFonts w:hint="eastAsia" w:ascii="黑体" w:hAnsi="黑体" w:eastAsia="黑体" w:cs="黑体"/>
          <w:sz w:val="32"/>
          <w:szCs w:val="32"/>
          <w:highlight w:val="none"/>
        </w:rPr>
        <w:t>第四章</w:t>
      </w:r>
      <w:r>
        <w:rPr>
          <w:rFonts w:ascii="黑体" w:hAnsi="黑体" w:eastAsia="黑体" w:cs="黑体"/>
          <w:sz w:val="32"/>
          <w:szCs w:val="32"/>
          <w:highlight w:val="none"/>
        </w:rPr>
        <w:t xml:space="preserve"> </w:t>
      </w:r>
      <w:r>
        <w:rPr>
          <w:rFonts w:hint="eastAsia" w:ascii="黑体" w:hAnsi="黑体" w:eastAsia="黑体" w:cs="黑体"/>
          <w:sz w:val="32"/>
          <w:szCs w:val="32"/>
          <w:highlight w:val="none"/>
        </w:rPr>
        <w:t>申报程序及资助政策</w:t>
      </w: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第八条</w:t>
      </w:r>
      <w:r>
        <w:rPr>
          <w:rFonts w:ascii="仿宋" w:hAnsi="仿宋" w:eastAsia="仿宋" w:cs="Times New Roman"/>
          <w:bCs/>
          <w:sz w:val="32"/>
          <w:szCs w:val="32"/>
          <w:highlight w:val="none"/>
          <w:lang w:bidi="ar"/>
        </w:rPr>
        <w:t xml:space="preserve"> </w:t>
      </w:r>
      <w:r>
        <w:rPr>
          <w:rFonts w:hint="eastAsia" w:ascii="仿宋" w:hAnsi="仿宋" w:eastAsia="仿宋" w:cs="Times New Roman"/>
          <w:sz w:val="32"/>
          <w:szCs w:val="32"/>
          <w:highlight w:val="none"/>
          <w:lang w:bidi="ar"/>
        </w:rPr>
        <w:t>佛山高新区管委会按照“申报、评选、审议、公示、公布”流程，每年开展企业统计工作质效提升工作经费补助的申报评审工作。</w:t>
      </w:r>
    </w:p>
    <w:p>
      <w:pPr>
        <w:keepNext w:val="0"/>
        <w:keepLines w:val="0"/>
        <w:pageBreakBefore w:val="0"/>
        <w:kinsoku/>
        <w:wordWrap/>
        <w:overflowPunct/>
        <w:topLinePunct w:val="0"/>
        <w:autoSpaceDE w:val="0"/>
        <w:autoSpaceDN/>
        <w:bidi w:val="0"/>
        <w:adjustRightInd/>
        <w:snapToGrid/>
        <w:spacing w:line="560" w:lineRule="exact"/>
        <w:ind w:firstLine="643" w:firstLineChars="200"/>
        <w:textAlignment w:val="auto"/>
        <w:rPr>
          <w:rFonts w:ascii="楷体" w:hAnsi="楷体" w:eastAsia="楷体" w:cs="楷体"/>
          <w:b/>
          <w:bCs/>
          <w:color w:val="000000"/>
          <w:sz w:val="32"/>
          <w:szCs w:val="32"/>
          <w:highlight w:val="none"/>
          <w:shd w:val="clear" w:color="auto" w:fill="FFFFFF"/>
        </w:rPr>
      </w:pPr>
      <w:r>
        <w:rPr>
          <w:rFonts w:hint="eastAsia" w:ascii="楷体" w:hAnsi="楷体" w:eastAsia="楷体" w:cs="楷体"/>
          <w:b/>
          <w:bCs/>
          <w:color w:val="000000"/>
          <w:sz w:val="32"/>
          <w:szCs w:val="32"/>
          <w:highlight w:val="none"/>
          <w:shd w:val="clear" w:color="auto" w:fill="FFFFFF"/>
        </w:rPr>
        <w:t>（一）申报</w:t>
      </w:r>
    </w:p>
    <w:p>
      <w:pPr>
        <w:keepNext w:val="0"/>
        <w:keepLines w:val="0"/>
        <w:pageBreakBefore w:val="0"/>
        <w:kinsoku/>
        <w:wordWrap/>
        <w:overflowPunct/>
        <w:topLinePunct w:val="0"/>
        <w:autoSpaceDE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ascii="仿宋" w:hAnsi="仿宋" w:eastAsia="仿宋" w:cs="Times New Roman"/>
          <w:sz w:val="32"/>
          <w:szCs w:val="32"/>
          <w:highlight w:val="none"/>
          <w:lang w:bidi="ar"/>
        </w:rPr>
        <w:t>1.</w:t>
      </w:r>
      <w:r>
        <w:rPr>
          <w:rFonts w:hint="eastAsia" w:ascii="仿宋" w:hAnsi="仿宋" w:eastAsia="仿宋" w:cs="Times New Roman"/>
          <w:sz w:val="32"/>
          <w:szCs w:val="32"/>
          <w:highlight w:val="none"/>
        </w:rPr>
        <w:t>科技创新局</w:t>
      </w:r>
      <w:r>
        <w:rPr>
          <w:rFonts w:hint="eastAsia" w:ascii="仿宋" w:hAnsi="仿宋" w:eastAsia="仿宋" w:cs="Times New Roman"/>
          <w:sz w:val="32"/>
          <w:szCs w:val="32"/>
          <w:highlight w:val="none"/>
          <w:lang w:bidi="ar"/>
        </w:rPr>
        <w:t>编制申报指南及通知，明确支持对象、组织形式、申报要求、申报时间、申报流程、材料要求等内容，申报指南和通知在</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佛山扶持通</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进行发布。</w:t>
      </w:r>
    </w:p>
    <w:p>
      <w:pPr>
        <w:keepNext w:val="0"/>
        <w:keepLines w:val="0"/>
        <w:pageBreakBefore w:val="0"/>
        <w:kinsoku/>
        <w:wordWrap/>
        <w:overflowPunct/>
        <w:topLinePunct w:val="0"/>
        <w:autoSpaceDE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ascii="仿宋" w:hAnsi="仿宋" w:eastAsia="仿宋" w:cs="Times New Roman"/>
          <w:sz w:val="32"/>
          <w:szCs w:val="32"/>
          <w:highlight w:val="none"/>
          <w:lang w:bidi="ar"/>
        </w:rPr>
        <w:t>2.</w:t>
      </w:r>
      <w:r>
        <w:rPr>
          <w:rFonts w:hint="eastAsia" w:ascii="仿宋" w:hAnsi="仿宋" w:eastAsia="仿宋" w:cs="Times New Roman"/>
          <w:sz w:val="32"/>
          <w:szCs w:val="32"/>
          <w:highlight w:val="none"/>
          <w:lang w:bidi="ar"/>
        </w:rPr>
        <w:t>申报单位登陆</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佛山扶持通</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，按照当年度发布的申报指南和通知要求在线填写</w:t>
      </w:r>
      <w:r>
        <w:rPr>
          <w:rFonts w:hint="eastAsia" w:ascii="仿宋" w:hAnsi="仿宋" w:eastAsia="仿宋" w:cs="Times New Roman"/>
          <w:kern w:val="0"/>
          <w:sz w:val="32"/>
          <w:szCs w:val="32"/>
          <w:highlight w:val="none"/>
          <w:lang w:bidi="ar"/>
        </w:rPr>
        <w:t>企业统计工作质效提升</w:t>
      </w:r>
      <w:r>
        <w:rPr>
          <w:rFonts w:hint="eastAsia" w:ascii="仿宋" w:hAnsi="仿宋" w:eastAsia="仿宋" w:cs="Times New Roman"/>
          <w:sz w:val="32"/>
          <w:szCs w:val="32"/>
          <w:highlight w:val="none"/>
          <w:lang w:bidi="ar"/>
        </w:rPr>
        <w:t>评分表，并上传相关材料。</w:t>
      </w:r>
      <w:r>
        <w:rPr>
          <w:rFonts w:hint="eastAsia" w:ascii="仿宋" w:hAnsi="仿宋" w:eastAsia="仿宋" w:cs="Times New Roman"/>
          <w:sz w:val="32"/>
          <w:szCs w:val="32"/>
          <w:highlight w:val="none"/>
        </w:rPr>
        <w:t>各</w:t>
      </w:r>
      <w:r>
        <w:rPr>
          <w:rFonts w:hint="eastAsia" w:ascii="仿宋" w:hAnsi="仿宋" w:eastAsia="仿宋" w:cs="Times New Roman"/>
          <w:sz w:val="32"/>
          <w:szCs w:val="32"/>
          <w:highlight w:val="none"/>
          <w:lang w:bidi="ar"/>
        </w:rPr>
        <w:t>园管理局</w:t>
      </w:r>
      <w:r>
        <w:rPr>
          <w:rFonts w:hint="eastAsia" w:ascii="仿宋" w:hAnsi="仿宋" w:eastAsia="仿宋" w:cs="Times New Roman"/>
          <w:sz w:val="32"/>
          <w:szCs w:val="32"/>
          <w:highlight w:val="none"/>
        </w:rPr>
        <w:t>对</w:t>
      </w:r>
      <w:r>
        <w:rPr>
          <w:rFonts w:hint="eastAsia" w:ascii="仿宋" w:hAnsi="仿宋" w:eastAsia="仿宋" w:cs="Times New Roman"/>
          <w:sz w:val="32"/>
          <w:szCs w:val="32"/>
          <w:highlight w:val="none"/>
          <w:lang w:bidi="ar"/>
        </w:rPr>
        <w:t>企业统计工作评分表的评估内容</w:t>
      </w:r>
      <w:r>
        <w:rPr>
          <w:rFonts w:hint="eastAsia" w:ascii="仿宋" w:hAnsi="仿宋" w:eastAsia="仿宋" w:cs="Times New Roman"/>
          <w:sz w:val="32"/>
          <w:highlight w:val="none"/>
        </w:rPr>
        <w:t>进行</w:t>
      </w:r>
      <w:r>
        <w:rPr>
          <w:rFonts w:hint="eastAsia" w:ascii="仿宋" w:hAnsi="仿宋" w:eastAsia="仿宋" w:cs="Times New Roman"/>
          <w:sz w:val="32"/>
          <w:szCs w:val="32"/>
          <w:highlight w:val="none"/>
          <w:lang w:bidi="ar"/>
        </w:rPr>
        <w:t>初审和打分。初审通过后，申报单位按要求提交纸质材料。</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ascii="仿宋" w:hAnsi="仿宋" w:eastAsia="仿宋" w:cs="Times New Roman"/>
          <w:sz w:val="32"/>
          <w:szCs w:val="32"/>
          <w:highlight w:val="none"/>
          <w:lang w:bidi="ar"/>
        </w:rPr>
        <w:t>3.</w:t>
      </w:r>
      <w:r>
        <w:rPr>
          <w:rFonts w:hint="eastAsia" w:ascii="仿宋" w:hAnsi="仿宋" w:eastAsia="仿宋" w:cs="Times New Roman"/>
          <w:sz w:val="32"/>
          <w:szCs w:val="32"/>
          <w:highlight w:val="none"/>
          <w:lang w:bidi="ar"/>
        </w:rPr>
        <w:t>申报材料包括以下内容：</w:t>
      </w:r>
      <w:r>
        <w:rPr>
          <w:rFonts w:hint="eastAsia" w:ascii="仿宋" w:hAnsi="仿宋" w:eastAsia="仿宋" w:cs="Times New Roman"/>
          <w:sz w:val="32"/>
          <w:szCs w:val="32"/>
          <w:highlight w:val="none"/>
        </w:rPr>
        <w:t>（</w:t>
      </w:r>
      <w:r>
        <w:rPr>
          <w:rFonts w:ascii="仿宋" w:hAnsi="仿宋" w:eastAsia="仿宋" w:cs="Times New Roman"/>
          <w:sz w:val="32"/>
          <w:szCs w:val="32"/>
          <w:highlight w:val="none"/>
        </w:rPr>
        <w:t>1</w:t>
      </w:r>
      <w:r>
        <w:rPr>
          <w:rFonts w:hint="eastAsia" w:ascii="仿宋" w:hAnsi="仿宋" w:eastAsia="仿宋" w:cs="Times New Roman"/>
          <w:sz w:val="32"/>
          <w:szCs w:val="32"/>
          <w:highlight w:val="none"/>
        </w:rPr>
        <w:t>）《</w:t>
      </w:r>
      <w:r>
        <w:rPr>
          <w:rFonts w:hint="eastAsia" w:ascii="仿宋" w:hAnsi="仿宋" w:eastAsia="仿宋" w:cs="Times New Roman"/>
          <w:kern w:val="0"/>
          <w:sz w:val="32"/>
          <w:szCs w:val="32"/>
          <w:highlight w:val="none"/>
          <w:lang w:bidi="ar"/>
        </w:rPr>
        <w:t>佛山高新区企业统计工作质效提升评分表</w:t>
      </w:r>
      <w:r>
        <w:rPr>
          <w:rFonts w:hint="eastAsia" w:ascii="仿宋" w:hAnsi="仿宋" w:eastAsia="仿宋" w:cs="Times New Roman"/>
          <w:sz w:val="32"/>
          <w:szCs w:val="32"/>
          <w:highlight w:val="none"/>
        </w:rPr>
        <w:t>》；</w:t>
      </w:r>
      <w:r>
        <w:rPr>
          <w:rFonts w:hint="eastAsia" w:ascii="仿宋" w:hAnsi="仿宋" w:eastAsia="仿宋" w:cs="Times New Roman"/>
          <w:sz w:val="32"/>
          <w:szCs w:val="32"/>
          <w:highlight w:val="none"/>
          <w:lang w:bidi="ar"/>
        </w:rPr>
        <w:t>（</w:t>
      </w:r>
      <w:r>
        <w:rPr>
          <w:rFonts w:ascii="仿宋" w:hAnsi="仿宋" w:eastAsia="仿宋" w:cs="Times New Roman"/>
          <w:sz w:val="32"/>
          <w:szCs w:val="32"/>
          <w:highlight w:val="none"/>
          <w:lang w:bidi="ar"/>
        </w:rPr>
        <w:t>2</w:t>
      </w:r>
      <w:r>
        <w:rPr>
          <w:rFonts w:hint="eastAsia" w:ascii="仿宋" w:hAnsi="仿宋" w:eastAsia="仿宋" w:cs="Times New Roman"/>
          <w:sz w:val="32"/>
          <w:szCs w:val="32"/>
          <w:highlight w:val="none"/>
          <w:lang w:bidi="ar"/>
        </w:rPr>
        <w:t>）佛山高新区项目申报单位信息表；</w:t>
      </w:r>
      <w:r>
        <w:rPr>
          <w:rFonts w:hint="eastAsia" w:ascii="仿宋" w:hAnsi="仿宋" w:eastAsia="仿宋" w:cs="Times New Roman"/>
          <w:sz w:val="32"/>
          <w:szCs w:val="32"/>
          <w:highlight w:val="none"/>
        </w:rPr>
        <w:t>（</w:t>
      </w:r>
      <w:r>
        <w:rPr>
          <w:rFonts w:ascii="仿宋" w:hAnsi="仿宋" w:eastAsia="仿宋" w:cs="Times New Roman"/>
          <w:sz w:val="32"/>
          <w:szCs w:val="32"/>
          <w:highlight w:val="none"/>
        </w:rPr>
        <w:t>3</w:t>
      </w:r>
      <w:r>
        <w:rPr>
          <w:rFonts w:hint="eastAsia" w:ascii="仿宋" w:hAnsi="仿宋" w:eastAsia="仿宋" w:cs="Times New Roman"/>
          <w:sz w:val="32"/>
          <w:szCs w:val="32"/>
          <w:highlight w:val="none"/>
        </w:rPr>
        <w:t>）企业营业执照；（</w:t>
      </w:r>
      <w:r>
        <w:rPr>
          <w:rFonts w:ascii="仿宋" w:hAnsi="仿宋" w:eastAsia="仿宋" w:cs="Times New Roman"/>
          <w:sz w:val="32"/>
          <w:szCs w:val="32"/>
          <w:highlight w:val="none"/>
        </w:rPr>
        <w:t>4</w:t>
      </w:r>
      <w:r>
        <w:rPr>
          <w:rFonts w:hint="eastAsia" w:ascii="仿宋" w:hAnsi="仿宋" w:eastAsia="仿宋" w:cs="Times New Roman"/>
          <w:sz w:val="32"/>
          <w:szCs w:val="32"/>
          <w:highlight w:val="none"/>
        </w:rPr>
        <w:t>）</w:t>
      </w:r>
      <w:r>
        <w:rPr>
          <w:rFonts w:hint="eastAsia" w:ascii="仿宋" w:hAnsi="仿宋" w:eastAsia="仿宋" w:cs="Times New Roman"/>
          <w:sz w:val="32"/>
          <w:szCs w:val="32"/>
          <w:highlight w:val="none"/>
          <w:lang w:bidi="ar"/>
        </w:rPr>
        <w:t>专（兼）职统计人员</w:t>
      </w:r>
      <w:r>
        <w:rPr>
          <w:rFonts w:hint="eastAsia" w:ascii="仿宋" w:hAnsi="仿宋" w:eastAsia="仿宋" w:cs="Times New Roman"/>
          <w:sz w:val="32"/>
          <w:szCs w:val="32"/>
          <w:highlight w:val="none"/>
        </w:rPr>
        <w:t>个人身份佐证材料；（</w:t>
      </w:r>
      <w:r>
        <w:rPr>
          <w:rFonts w:ascii="仿宋" w:hAnsi="仿宋" w:eastAsia="仿宋" w:cs="Times New Roman"/>
          <w:sz w:val="32"/>
          <w:szCs w:val="32"/>
          <w:highlight w:val="none"/>
        </w:rPr>
        <w:t>5</w:t>
      </w:r>
      <w:r>
        <w:rPr>
          <w:rFonts w:hint="eastAsia" w:ascii="仿宋" w:hAnsi="仿宋" w:eastAsia="仿宋" w:cs="Times New Roman"/>
          <w:sz w:val="32"/>
          <w:szCs w:val="32"/>
          <w:highlight w:val="none"/>
        </w:rPr>
        <w:t>）申请承诺书。</w:t>
      </w:r>
    </w:p>
    <w:p>
      <w:pPr>
        <w:keepNext w:val="0"/>
        <w:keepLines w:val="0"/>
        <w:pageBreakBefore w:val="0"/>
        <w:kinsoku/>
        <w:wordWrap/>
        <w:overflowPunct/>
        <w:topLinePunct w:val="0"/>
        <w:autoSpaceDE w:val="0"/>
        <w:autoSpaceDN/>
        <w:bidi w:val="0"/>
        <w:adjustRightInd/>
        <w:snapToGrid/>
        <w:spacing w:line="560" w:lineRule="exact"/>
        <w:ind w:firstLine="643" w:firstLineChars="200"/>
        <w:textAlignment w:val="auto"/>
        <w:rPr>
          <w:rFonts w:ascii="楷体" w:hAnsi="楷体" w:eastAsia="楷体" w:cs="楷体"/>
          <w:b/>
          <w:bCs/>
          <w:color w:val="000000"/>
          <w:sz w:val="32"/>
          <w:szCs w:val="32"/>
          <w:highlight w:val="none"/>
          <w:shd w:val="clear" w:color="auto" w:fill="FFFFFF"/>
        </w:rPr>
      </w:pPr>
      <w:r>
        <w:rPr>
          <w:rFonts w:hint="eastAsia" w:ascii="楷体" w:hAnsi="楷体" w:eastAsia="楷体" w:cs="楷体"/>
          <w:b/>
          <w:bCs/>
          <w:color w:val="000000"/>
          <w:sz w:val="32"/>
          <w:szCs w:val="32"/>
          <w:highlight w:val="none"/>
          <w:shd w:val="clear" w:color="auto" w:fill="FFFFFF"/>
        </w:rPr>
        <w:t>（二）评选</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hint="eastAsia" w:ascii="仿宋" w:hAnsi="仿宋" w:eastAsia="仿宋" w:cs="Times New Roman"/>
          <w:sz w:val="32"/>
          <w:szCs w:val="32"/>
          <w:highlight w:val="none"/>
          <w:lang w:bidi="ar"/>
        </w:rPr>
        <w:t>各园管理局或委托第三方服务机构进行项目评选，根据《佛山高新区企业统计工作质效提升评分表》的统计体系建设、统计队伍建设、机制和报表质量和其他加分项等评估内容，按照自查得分（</w:t>
      </w:r>
      <w:r>
        <w:rPr>
          <w:rFonts w:ascii="仿宋" w:hAnsi="仿宋" w:eastAsia="仿宋" w:cs="Times New Roman"/>
          <w:sz w:val="32"/>
          <w:szCs w:val="32"/>
          <w:highlight w:val="none"/>
          <w:lang w:bidi="ar"/>
        </w:rPr>
        <w:t>40%</w:t>
      </w:r>
      <w:r>
        <w:rPr>
          <w:rFonts w:hint="eastAsia" w:ascii="仿宋" w:hAnsi="仿宋" w:eastAsia="仿宋" w:cs="Times New Roman"/>
          <w:sz w:val="32"/>
          <w:szCs w:val="32"/>
          <w:highlight w:val="none"/>
          <w:lang w:bidi="ar"/>
        </w:rPr>
        <w:t>权重）和初审得分（</w:t>
      </w:r>
      <w:r>
        <w:rPr>
          <w:rFonts w:ascii="仿宋" w:hAnsi="仿宋" w:eastAsia="仿宋" w:cs="Times New Roman"/>
          <w:sz w:val="32"/>
          <w:szCs w:val="32"/>
          <w:highlight w:val="none"/>
          <w:lang w:bidi="ar"/>
        </w:rPr>
        <w:t>60%</w:t>
      </w:r>
      <w:r>
        <w:rPr>
          <w:rFonts w:hint="eastAsia" w:ascii="仿宋" w:hAnsi="仿宋" w:eastAsia="仿宋" w:cs="Times New Roman"/>
          <w:sz w:val="32"/>
          <w:szCs w:val="32"/>
          <w:highlight w:val="none"/>
          <w:lang w:bidi="ar"/>
        </w:rPr>
        <w:t>权重）计算出企业合计分数，并按照</w:t>
      </w:r>
      <w:r>
        <w:rPr>
          <w:rFonts w:ascii="仿宋" w:hAnsi="仿宋" w:eastAsia="仿宋" w:cs="Times New Roman"/>
          <w:sz w:val="32"/>
          <w:szCs w:val="32"/>
          <w:highlight w:val="none"/>
          <w:lang w:bidi="ar"/>
        </w:rPr>
        <w:t>90</w:t>
      </w:r>
      <w:r>
        <w:rPr>
          <w:rFonts w:hint="eastAsia" w:ascii="仿宋" w:hAnsi="仿宋" w:eastAsia="仿宋" w:cs="Times New Roman"/>
          <w:sz w:val="32"/>
          <w:szCs w:val="32"/>
          <w:highlight w:val="none"/>
          <w:lang w:bidi="ar"/>
        </w:rPr>
        <w:t>分以上（含</w:t>
      </w:r>
      <w:r>
        <w:rPr>
          <w:rFonts w:ascii="仿宋" w:hAnsi="仿宋" w:eastAsia="仿宋" w:cs="Times New Roman"/>
          <w:sz w:val="32"/>
          <w:szCs w:val="32"/>
          <w:highlight w:val="none"/>
          <w:lang w:bidi="ar"/>
        </w:rPr>
        <w:t>90</w:t>
      </w:r>
      <w:r>
        <w:rPr>
          <w:rFonts w:hint="eastAsia" w:ascii="仿宋" w:hAnsi="仿宋" w:eastAsia="仿宋" w:cs="Times New Roman"/>
          <w:sz w:val="32"/>
          <w:szCs w:val="32"/>
          <w:highlight w:val="none"/>
          <w:lang w:bidi="ar"/>
        </w:rPr>
        <w:t>分）、</w:t>
      </w:r>
      <w:r>
        <w:rPr>
          <w:rFonts w:ascii="仿宋" w:hAnsi="仿宋" w:eastAsia="仿宋" w:cs="Times New Roman"/>
          <w:sz w:val="32"/>
          <w:szCs w:val="32"/>
          <w:highlight w:val="none"/>
          <w:lang w:bidi="ar"/>
        </w:rPr>
        <w:t>80-89</w:t>
      </w:r>
      <w:r>
        <w:rPr>
          <w:rFonts w:hint="eastAsia" w:ascii="仿宋" w:hAnsi="仿宋" w:eastAsia="仿宋" w:cs="Times New Roman"/>
          <w:sz w:val="32"/>
          <w:szCs w:val="32"/>
          <w:highlight w:val="none"/>
          <w:lang w:bidi="ar"/>
        </w:rPr>
        <w:t>分（含</w:t>
      </w:r>
      <w:r>
        <w:rPr>
          <w:rFonts w:ascii="仿宋" w:hAnsi="仿宋" w:eastAsia="仿宋" w:cs="Times New Roman"/>
          <w:sz w:val="32"/>
          <w:szCs w:val="32"/>
          <w:highlight w:val="none"/>
          <w:lang w:bidi="ar"/>
        </w:rPr>
        <w:t>80</w:t>
      </w:r>
      <w:r>
        <w:rPr>
          <w:rFonts w:hint="eastAsia" w:ascii="仿宋" w:hAnsi="仿宋" w:eastAsia="仿宋" w:cs="Times New Roman"/>
          <w:sz w:val="32"/>
          <w:szCs w:val="32"/>
          <w:highlight w:val="none"/>
          <w:lang w:bidi="ar"/>
        </w:rPr>
        <w:t>分）、</w:t>
      </w:r>
      <w:r>
        <w:rPr>
          <w:rFonts w:ascii="仿宋" w:hAnsi="仿宋" w:eastAsia="仿宋" w:cs="Times New Roman"/>
          <w:sz w:val="32"/>
          <w:szCs w:val="32"/>
          <w:highlight w:val="none"/>
          <w:lang w:bidi="ar"/>
        </w:rPr>
        <w:t>70-79</w:t>
      </w:r>
      <w:r>
        <w:rPr>
          <w:rFonts w:hint="eastAsia" w:ascii="仿宋" w:hAnsi="仿宋" w:eastAsia="仿宋" w:cs="Times New Roman"/>
          <w:sz w:val="32"/>
          <w:szCs w:val="32"/>
          <w:highlight w:val="none"/>
          <w:lang w:bidi="ar"/>
        </w:rPr>
        <w:t>分（含</w:t>
      </w:r>
      <w:r>
        <w:rPr>
          <w:rFonts w:ascii="仿宋" w:hAnsi="仿宋" w:eastAsia="仿宋" w:cs="Times New Roman"/>
          <w:sz w:val="32"/>
          <w:szCs w:val="32"/>
          <w:highlight w:val="none"/>
          <w:lang w:bidi="ar"/>
        </w:rPr>
        <w:t>70</w:t>
      </w:r>
      <w:r>
        <w:rPr>
          <w:rFonts w:hint="eastAsia" w:ascii="仿宋" w:hAnsi="仿宋" w:eastAsia="仿宋" w:cs="Times New Roman"/>
          <w:sz w:val="32"/>
          <w:szCs w:val="32"/>
          <w:highlight w:val="none"/>
          <w:lang w:bidi="ar"/>
        </w:rPr>
        <w:t>分）、</w:t>
      </w:r>
      <w:r>
        <w:rPr>
          <w:rFonts w:ascii="仿宋" w:hAnsi="仿宋" w:eastAsia="仿宋" w:cs="Times New Roman"/>
          <w:sz w:val="32"/>
          <w:szCs w:val="32"/>
          <w:highlight w:val="none"/>
          <w:lang w:bidi="ar"/>
        </w:rPr>
        <w:t>60-69</w:t>
      </w:r>
      <w:r>
        <w:rPr>
          <w:rFonts w:hint="eastAsia" w:ascii="仿宋" w:hAnsi="仿宋" w:eastAsia="仿宋" w:cs="Times New Roman"/>
          <w:sz w:val="32"/>
          <w:szCs w:val="32"/>
          <w:highlight w:val="none"/>
          <w:lang w:bidi="ar"/>
        </w:rPr>
        <w:t>分（含</w:t>
      </w:r>
      <w:r>
        <w:rPr>
          <w:rFonts w:ascii="仿宋" w:hAnsi="仿宋" w:eastAsia="仿宋" w:cs="Times New Roman"/>
          <w:sz w:val="32"/>
          <w:szCs w:val="32"/>
          <w:highlight w:val="none"/>
          <w:lang w:bidi="ar"/>
        </w:rPr>
        <w:t>60</w:t>
      </w:r>
      <w:r>
        <w:rPr>
          <w:rFonts w:hint="eastAsia" w:ascii="仿宋" w:hAnsi="仿宋" w:eastAsia="仿宋" w:cs="Times New Roman"/>
          <w:sz w:val="32"/>
          <w:szCs w:val="32"/>
          <w:highlight w:val="none"/>
          <w:lang w:bidi="ar"/>
        </w:rPr>
        <w:t>分）的标准分为</w:t>
      </w:r>
      <w:r>
        <w:rPr>
          <w:rFonts w:ascii="仿宋" w:hAnsi="仿宋" w:eastAsia="仿宋" w:cs="Times New Roman"/>
          <w:sz w:val="32"/>
          <w:szCs w:val="32"/>
          <w:highlight w:val="none"/>
          <w:lang w:bidi="ar"/>
        </w:rPr>
        <w:t>A</w:t>
      </w:r>
      <w:r>
        <w:rPr>
          <w:rFonts w:hint="eastAsia" w:ascii="仿宋" w:hAnsi="仿宋" w:eastAsia="仿宋" w:cs="Times New Roman"/>
          <w:sz w:val="32"/>
          <w:szCs w:val="32"/>
          <w:highlight w:val="none"/>
          <w:lang w:bidi="ar"/>
        </w:rPr>
        <w:t>、</w:t>
      </w:r>
      <w:r>
        <w:rPr>
          <w:rFonts w:ascii="仿宋" w:hAnsi="仿宋" w:eastAsia="仿宋" w:cs="Times New Roman"/>
          <w:sz w:val="32"/>
          <w:szCs w:val="32"/>
          <w:highlight w:val="none"/>
          <w:lang w:bidi="ar"/>
        </w:rPr>
        <w:t>B</w:t>
      </w:r>
      <w:r>
        <w:rPr>
          <w:rFonts w:hint="eastAsia" w:ascii="仿宋" w:hAnsi="仿宋" w:eastAsia="仿宋" w:cs="Times New Roman"/>
          <w:sz w:val="32"/>
          <w:szCs w:val="32"/>
          <w:highlight w:val="none"/>
          <w:lang w:bidi="ar"/>
        </w:rPr>
        <w:t>、</w:t>
      </w:r>
      <w:r>
        <w:rPr>
          <w:rFonts w:ascii="仿宋" w:hAnsi="仿宋" w:eastAsia="仿宋" w:cs="Times New Roman"/>
          <w:sz w:val="32"/>
          <w:szCs w:val="32"/>
          <w:highlight w:val="none"/>
          <w:lang w:bidi="ar"/>
        </w:rPr>
        <w:t>C</w:t>
      </w:r>
      <w:r>
        <w:rPr>
          <w:rFonts w:hint="eastAsia" w:ascii="仿宋" w:hAnsi="仿宋" w:eastAsia="仿宋" w:cs="Times New Roman"/>
          <w:sz w:val="32"/>
          <w:szCs w:val="32"/>
          <w:highlight w:val="none"/>
          <w:lang w:bidi="ar"/>
        </w:rPr>
        <w:t>、</w:t>
      </w:r>
      <w:r>
        <w:rPr>
          <w:rFonts w:ascii="仿宋" w:hAnsi="仿宋" w:eastAsia="仿宋" w:cs="Times New Roman"/>
          <w:sz w:val="32"/>
          <w:szCs w:val="32"/>
          <w:highlight w:val="none"/>
          <w:lang w:bidi="ar"/>
        </w:rPr>
        <w:t>D</w:t>
      </w:r>
      <w:r>
        <w:rPr>
          <w:rFonts w:hint="eastAsia" w:ascii="仿宋" w:hAnsi="仿宋" w:eastAsia="仿宋" w:cs="Times New Roman"/>
          <w:sz w:val="32"/>
          <w:szCs w:val="32"/>
          <w:highlight w:val="none"/>
          <w:lang w:bidi="ar"/>
        </w:rPr>
        <w:t>类企业，形成初步名单（评分结果不满</w:t>
      </w:r>
      <w:r>
        <w:rPr>
          <w:rFonts w:ascii="仿宋" w:hAnsi="仿宋" w:eastAsia="仿宋" w:cs="Times New Roman"/>
          <w:sz w:val="32"/>
          <w:szCs w:val="32"/>
          <w:highlight w:val="none"/>
          <w:lang w:bidi="ar"/>
        </w:rPr>
        <w:t>60</w:t>
      </w:r>
      <w:r>
        <w:rPr>
          <w:rFonts w:hint="eastAsia" w:ascii="仿宋" w:hAnsi="仿宋" w:eastAsia="仿宋" w:cs="Times New Roman"/>
          <w:sz w:val="32"/>
          <w:szCs w:val="32"/>
          <w:highlight w:val="none"/>
          <w:lang w:bidi="ar"/>
        </w:rPr>
        <w:t>分不享受补助）。</w:t>
      </w:r>
      <w:r>
        <w:rPr>
          <w:rFonts w:hint="eastAsia" w:ascii="仿宋" w:hAnsi="仿宋" w:eastAsia="仿宋" w:cs="Times New Roman"/>
          <w:sz w:val="32"/>
          <w:szCs w:val="32"/>
          <w:highlight w:val="none"/>
        </w:rPr>
        <w:t>各园管理局对名单进行核实确认，形成</w:t>
      </w:r>
      <w:r>
        <w:rPr>
          <w:rFonts w:hint="eastAsia" w:ascii="仿宋" w:hAnsi="仿宋" w:eastAsia="仿宋" w:cs="Times New Roman"/>
          <w:sz w:val="32"/>
          <w:szCs w:val="32"/>
          <w:highlight w:val="none"/>
          <w:lang w:bidi="ar"/>
        </w:rPr>
        <w:t>佛山高新区</w:t>
      </w:r>
      <w:r>
        <w:rPr>
          <w:rFonts w:hint="eastAsia" w:ascii="仿宋" w:hAnsi="仿宋" w:eastAsia="仿宋" w:cs="Times New Roman"/>
          <w:sz w:val="32"/>
          <w:szCs w:val="32"/>
          <w:highlight w:val="none"/>
        </w:rPr>
        <w:t>企业统计工作质效提升</w:t>
      </w:r>
      <w:r>
        <w:rPr>
          <w:rFonts w:hint="eastAsia" w:ascii="仿宋" w:hAnsi="仿宋" w:eastAsia="仿宋" w:cs="Times New Roman"/>
          <w:sz w:val="32"/>
          <w:szCs w:val="32"/>
          <w:highlight w:val="none"/>
          <w:lang w:bidi="ar"/>
        </w:rPr>
        <w:t>工作经费拟补助名单，并上报佛山高新区管委会。</w:t>
      </w:r>
    </w:p>
    <w:p>
      <w:pPr>
        <w:keepNext w:val="0"/>
        <w:keepLines w:val="0"/>
        <w:pageBreakBefore w:val="0"/>
        <w:kinsoku/>
        <w:wordWrap/>
        <w:overflowPunct/>
        <w:topLinePunct w:val="0"/>
        <w:autoSpaceDE w:val="0"/>
        <w:autoSpaceDN/>
        <w:bidi w:val="0"/>
        <w:adjustRightInd/>
        <w:snapToGrid/>
        <w:spacing w:line="560" w:lineRule="exact"/>
        <w:ind w:firstLine="643" w:firstLineChars="200"/>
        <w:textAlignment w:val="auto"/>
        <w:rPr>
          <w:rFonts w:ascii="楷体" w:hAnsi="楷体" w:eastAsia="楷体" w:cs="楷体"/>
          <w:b/>
          <w:bCs/>
          <w:color w:val="000000"/>
          <w:sz w:val="32"/>
          <w:szCs w:val="32"/>
          <w:highlight w:val="none"/>
          <w:shd w:val="clear" w:color="auto" w:fill="FFFFFF"/>
        </w:rPr>
      </w:pPr>
      <w:r>
        <w:rPr>
          <w:rFonts w:hint="eastAsia" w:ascii="楷体" w:hAnsi="楷体" w:eastAsia="楷体" w:cs="楷体"/>
          <w:b/>
          <w:bCs/>
          <w:color w:val="000000"/>
          <w:sz w:val="32"/>
          <w:szCs w:val="32"/>
          <w:highlight w:val="none"/>
          <w:shd w:val="clear" w:color="auto" w:fill="FFFFFF"/>
        </w:rPr>
        <w:t>（三）审议</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hint="eastAsia" w:ascii="仿宋" w:hAnsi="仿宋" w:eastAsia="仿宋" w:cs="Times New Roman"/>
          <w:sz w:val="32"/>
          <w:szCs w:val="32"/>
          <w:highlight w:val="none"/>
          <w:lang w:bidi="ar"/>
        </w:rPr>
        <w:t>拟补助名单经佛山高新区管委会主任办公会议讨论通过后，形成拟资助名单。</w:t>
      </w:r>
    </w:p>
    <w:p>
      <w:pPr>
        <w:keepNext w:val="0"/>
        <w:keepLines w:val="0"/>
        <w:pageBreakBefore w:val="0"/>
        <w:kinsoku/>
        <w:wordWrap/>
        <w:overflowPunct/>
        <w:topLinePunct w:val="0"/>
        <w:autoSpaceDE w:val="0"/>
        <w:autoSpaceDN/>
        <w:bidi w:val="0"/>
        <w:adjustRightInd/>
        <w:snapToGrid/>
        <w:spacing w:line="560" w:lineRule="exact"/>
        <w:ind w:firstLine="643" w:firstLineChars="200"/>
        <w:textAlignment w:val="auto"/>
        <w:rPr>
          <w:rFonts w:ascii="楷体" w:hAnsi="楷体" w:eastAsia="楷体" w:cs="楷体"/>
          <w:b/>
          <w:bCs/>
          <w:color w:val="000000"/>
          <w:sz w:val="32"/>
          <w:szCs w:val="32"/>
          <w:highlight w:val="none"/>
          <w:shd w:val="clear" w:color="auto" w:fill="FFFFFF"/>
        </w:rPr>
      </w:pPr>
      <w:r>
        <w:rPr>
          <w:rFonts w:hint="eastAsia" w:ascii="楷体" w:hAnsi="楷体" w:eastAsia="楷体" w:cs="楷体"/>
          <w:b/>
          <w:bCs/>
          <w:color w:val="000000"/>
          <w:sz w:val="32"/>
          <w:szCs w:val="32"/>
          <w:highlight w:val="none"/>
          <w:shd w:val="clear" w:color="auto" w:fill="FFFFFF"/>
        </w:rPr>
        <w:t>（四）公示</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hint="eastAsia" w:ascii="仿宋" w:hAnsi="仿宋" w:eastAsia="仿宋" w:cs="Times New Roman"/>
          <w:sz w:val="32"/>
          <w:szCs w:val="32"/>
          <w:highlight w:val="none"/>
        </w:rPr>
        <w:t>科技创新</w:t>
      </w:r>
      <w:r>
        <w:rPr>
          <w:rFonts w:hint="eastAsia" w:ascii="仿宋" w:hAnsi="仿宋" w:eastAsia="仿宋" w:cs="Times New Roman"/>
          <w:sz w:val="32"/>
          <w:szCs w:val="32"/>
          <w:highlight w:val="none"/>
          <w:lang w:bidi="ar"/>
        </w:rPr>
        <w:t>局将拟资助名单在</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佛山扶持通</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进行公示，公示期为不低于</w:t>
      </w:r>
      <w:r>
        <w:rPr>
          <w:rFonts w:ascii="仿宋" w:hAnsi="仿宋" w:eastAsia="仿宋" w:cs="Times New Roman"/>
          <w:sz w:val="32"/>
          <w:szCs w:val="32"/>
          <w:highlight w:val="none"/>
          <w:lang w:bidi="ar"/>
        </w:rPr>
        <w:t>5</w:t>
      </w:r>
      <w:r>
        <w:rPr>
          <w:rFonts w:hint="eastAsia" w:ascii="仿宋" w:hAnsi="仿宋" w:eastAsia="仿宋" w:cs="Times New Roman"/>
          <w:sz w:val="32"/>
          <w:szCs w:val="32"/>
          <w:highlight w:val="none"/>
          <w:lang w:bidi="ar"/>
        </w:rPr>
        <w:t>个工作日。公示期内接到相关异议的，由各园管理局配合</w:t>
      </w:r>
      <w:r>
        <w:rPr>
          <w:rFonts w:hint="eastAsia" w:ascii="仿宋" w:hAnsi="仿宋" w:eastAsia="仿宋" w:cs="Times New Roman"/>
          <w:sz w:val="32"/>
          <w:szCs w:val="32"/>
          <w:highlight w:val="none"/>
        </w:rPr>
        <w:t>科技创新局</w:t>
      </w:r>
      <w:r>
        <w:rPr>
          <w:rFonts w:hint="eastAsia" w:ascii="仿宋" w:hAnsi="仿宋" w:eastAsia="仿宋" w:cs="Times New Roman"/>
          <w:sz w:val="32"/>
          <w:szCs w:val="32"/>
          <w:highlight w:val="none"/>
          <w:lang w:bidi="ar"/>
        </w:rPr>
        <w:t>调查核实并提出处理意见，处理意见报佛山高新区管委会主任办公会议审议</w:t>
      </w:r>
      <w:r>
        <w:rPr>
          <w:rFonts w:hint="eastAsia" w:ascii="仿宋" w:hAnsi="仿宋" w:eastAsia="仿宋" w:cs="Times New Roman"/>
          <w:sz w:val="32"/>
          <w:highlight w:val="none"/>
        </w:rPr>
        <w:t>。</w:t>
      </w:r>
    </w:p>
    <w:p>
      <w:pPr>
        <w:keepNext w:val="0"/>
        <w:keepLines w:val="0"/>
        <w:pageBreakBefore w:val="0"/>
        <w:kinsoku/>
        <w:wordWrap/>
        <w:overflowPunct/>
        <w:topLinePunct w:val="0"/>
        <w:autoSpaceDE w:val="0"/>
        <w:autoSpaceDN/>
        <w:bidi w:val="0"/>
        <w:adjustRightInd/>
        <w:snapToGrid/>
        <w:spacing w:line="560" w:lineRule="exact"/>
        <w:ind w:firstLine="643" w:firstLineChars="200"/>
        <w:textAlignment w:val="auto"/>
        <w:rPr>
          <w:rFonts w:ascii="楷体" w:hAnsi="楷体" w:eastAsia="楷体" w:cs="楷体"/>
          <w:b/>
          <w:bCs/>
          <w:color w:val="000000"/>
          <w:sz w:val="32"/>
          <w:szCs w:val="32"/>
          <w:highlight w:val="none"/>
          <w:shd w:val="clear" w:color="auto" w:fill="FFFFFF"/>
        </w:rPr>
      </w:pPr>
      <w:r>
        <w:rPr>
          <w:rFonts w:hint="eastAsia" w:ascii="楷体" w:hAnsi="楷体" w:eastAsia="楷体" w:cs="楷体"/>
          <w:b/>
          <w:bCs/>
          <w:color w:val="000000"/>
          <w:sz w:val="32"/>
          <w:szCs w:val="32"/>
          <w:highlight w:val="none"/>
          <w:shd w:val="clear" w:color="auto" w:fill="FFFFFF"/>
        </w:rPr>
        <w:t>（五）公布</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hint="eastAsia" w:ascii="仿宋" w:hAnsi="仿宋" w:eastAsia="仿宋" w:cs="Times New Roman"/>
          <w:sz w:val="32"/>
          <w:szCs w:val="32"/>
          <w:highlight w:val="none"/>
          <w:lang w:bidi="ar"/>
        </w:rPr>
        <w:t>公示无异议或异议不成立的，资助名单在</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佛山扶持通</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对外公开发布。</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hint="eastAsia" w:ascii="黑体" w:hAnsi="黑体" w:eastAsia="黑体" w:cs="黑体"/>
          <w:sz w:val="32"/>
          <w:szCs w:val="32"/>
          <w:highlight w:val="none"/>
        </w:rPr>
        <w:t>第九条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对</w:t>
      </w:r>
      <w:r>
        <w:rPr>
          <w:rFonts w:hint="eastAsia" w:ascii="仿宋" w:hAnsi="仿宋" w:eastAsia="仿宋" w:cs="Times New Roman"/>
          <w:sz w:val="32"/>
          <w:szCs w:val="32"/>
          <w:highlight w:val="none"/>
          <w:lang w:bidi="ar"/>
        </w:rPr>
        <w:t>评选出的</w:t>
      </w:r>
      <w:r>
        <w:rPr>
          <w:rFonts w:ascii="仿宋" w:hAnsi="仿宋" w:eastAsia="仿宋" w:cs="Times New Roman"/>
          <w:sz w:val="32"/>
          <w:szCs w:val="32"/>
          <w:highlight w:val="none"/>
          <w:lang w:bidi="ar"/>
        </w:rPr>
        <w:t>A</w:t>
      </w:r>
      <w:r>
        <w:rPr>
          <w:rFonts w:hint="eastAsia" w:ascii="仿宋" w:hAnsi="仿宋" w:eastAsia="仿宋" w:cs="Times New Roman"/>
          <w:sz w:val="32"/>
          <w:szCs w:val="32"/>
          <w:highlight w:val="none"/>
          <w:lang w:bidi="ar"/>
        </w:rPr>
        <w:t>、</w:t>
      </w:r>
      <w:r>
        <w:rPr>
          <w:rFonts w:ascii="仿宋" w:hAnsi="仿宋" w:eastAsia="仿宋" w:cs="Times New Roman"/>
          <w:sz w:val="32"/>
          <w:szCs w:val="32"/>
          <w:highlight w:val="none"/>
          <w:lang w:bidi="ar"/>
        </w:rPr>
        <w:t>B</w:t>
      </w:r>
      <w:r>
        <w:rPr>
          <w:rFonts w:hint="eastAsia" w:ascii="仿宋" w:hAnsi="仿宋" w:eastAsia="仿宋" w:cs="Times New Roman"/>
          <w:sz w:val="32"/>
          <w:szCs w:val="32"/>
          <w:highlight w:val="none"/>
          <w:lang w:bidi="ar"/>
        </w:rPr>
        <w:t>、</w:t>
      </w:r>
      <w:r>
        <w:rPr>
          <w:rFonts w:ascii="仿宋" w:hAnsi="仿宋" w:eastAsia="仿宋" w:cs="Times New Roman"/>
          <w:sz w:val="32"/>
          <w:szCs w:val="32"/>
          <w:highlight w:val="none"/>
          <w:lang w:bidi="ar"/>
        </w:rPr>
        <w:t>C</w:t>
      </w:r>
      <w:r>
        <w:rPr>
          <w:rFonts w:hint="eastAsia" w:ascii="仿宋" w:hAnsi="仿宋" w:eastAsia="仿宋" w:cs="Times New Roman"/>
          <w:sz w:val="32"/>
          <w:szCs w:val="32"/>
          <w:highlight w:val="none"/>
          <w:lang w:bidi="ar"/>
        </w:rPr>
        <w:t>、</w:t>
      </w:r>
      <w:r>
        <w:rPr>
          <w:rFonts w:ascii="仿宋" w:hAnsi="仿宋" w:eastAsia="仿宋" w:cs="Times New Roman"/>
          <w:sz w:val="32"/>
          <w:szCs w:val="32"/>
          <w:highlight w:val="none"/>
          <w:lang w:bidi="ar"/>
        </w:rPr>
        <w:t>D</w:t>
      </w:r>
      <w:r>
        <w:rPr>
          <w:rFonts w:hint="eastAsia" w:ascii="仿宋" w:hAnsi="仿宋" w:eastAsia="仿宋" w:cs="Times New Roman"/>
          <w:sz w:val="32"/>
          <w:szCs w:val="32"/>
          <w:highlight w:val="none"/>
          <w:lang w:bidi="ar"/>
        </w:rPr>
        <w:t>四类企业，对其专（兼）职统计人员分别给予</w:t>
      </w:r>
      <w:r>
        <w:rPr>
          <w:rFonts w:ascii="仿宋" w:hAnsi="仿宋" w:eastAsia="仿宋" w:cs="Times New Roman"/>
          <w:sz w:val="32"/>
          <w:szCs w:val="32"/>
          <w:highlight w:val="none"/>
          <w:lang w:bidi="ar"/>
        </w:rPr>
        <w:t>2000</w:t>
      </w:r>
      <w:r>
        <w:rPr>
          <w:rFonts w:hint="eastAsia" w:ascii="仿宋" w:hAnsi="仿宋" w:eastAsia="仿宋" w:cs="Times New Roman"/>
          <w:sz w:val="32"/>
          <w:szCs w:val="32"/>
          <w:highlight w:val="none"/>
          <w:lang w:bidi="ar"/>
        </w:rPr>
        <w:t>元、</w:t>
      </w:r>
      <w:r>
        <w:rPr>
          <w:rFonts w:ascii="仿宋" w:hAnsi="仿宋" w:eastAsia="仿宋" w:cs="Times New Roman"/>
          <w:sz w:val="32"/>
          <w:szCs w:val="32"/>
          <w:highlight w:val="none"/>
          <w:lang w:bidi="ar"/>
        </w:rPr>
        <w:t>1800</w:t>
      </w:r>
      <w:r>
        <w:rPr>
          <w:rFonts w:hint="eastAsia" w:ascii="仿宋" w:hAnsi="仿宋" w:eastAsia="仿宋" w:cs="Times New Roman"/>
          <w:sz w:val="32"/>
          <w:szCs w:val="32"/>
          <w:highlight w:val="none"/>
          <w:lang w:bidi="ar"/>
        </w:rPr>
        <w:t>元、</w:t>
      </w:r>
      <w:r>
        <w:rPr>
          <w:rFonts w:ascii="仿宋" w:hAnsi="仿宋" w:eastAsia="仿宋" w:cs="Times New Roman"/>
          <w:sz w:val="32"/>
          <w:szCs w:val="32"/>
          <w:highlight w:val="none"/>
          <w:lang w:bidi="ar"/>
        </w:rPr>
        <w:t>1600</w:t>
      </w:r>
      <w:r>
        <w:rPr>
          <w:rFonts w:hint="eastAsia" w:ascii="仿宋" w:hAnsi="仿宋" w:eastAsia="仿宋" w:cs="Times New Roman"/>
          <w:sz w:val="32"/>
          <w:szCs w:val="32"/>
          <w:highlight w:val="none"/>
          <w:lang w:bidi="ar"/>
        </w:rPr>
        <w:t>元、</w:t>
      </w:r>
      <w:r>
        <w:rPr>
          <w:rFonts w:ascii="仿宋" w:hAnsi="仿宋" w:eastAsia="仿宋" w:cs="Times New Roman"/>
          <w:sz w:val="32"/>
          <w:szCs w:val="32"/>
          <w:highlight w:val="none"/>
          <w:lang w:bidi="ar"/>
        </w:rPr>
        <w:t>1400</w:t>
      </w:r>
      <w:r>
        <w:rPr>
          <w:rFonts w:hint="eastAsia" w:ascii="仿宋" w:hAnsi="仿宋" w:eastAsia="仿宋" w:cs="Times New Roman"/>
          <w:sz w:val="32"/>
          <w:szCs w:val="32"/>
          <w:highlight w:val="none"/>
          <w:lang w:bidi="ar"/>
        </w:rPr>
        <w:t>元工作经费一次性后补助。每家企业仅限一名统计人员。</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第十条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lang w:bidi="ar"/>
        </w:rPr>
        <w:t>鼓励各园管理局根据实际给予配套支持。</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r>
        <w:rPr>
          <w:rFonts w:hint="eastAsia" w:ascii="黑体" w:hAnsi="黑体" w:eastAsia="黑体" w:cs="黑体"/>
          <w:sz w:val="32"/>
          <w:szCs w:val="32"/>
          <w:highlight w:val="none"/>
        </w:rPr>
        <w:t>第五章</w:t>
      </w:r>
      <w:r>
        <w:rPr>
          <w:rFonts w:ascii="黑体" w:hAnsi="黑体" w:eastAsia="黑体" w:cs="黑体"/>
          <w:sz w:val="32"/>
          <w:szCs w:val="32"/>
          <w:highlight w:val="none"/>
        </w:rPr>
        <w:t xml:space="preserve"> </w:t>
      </w:r>
      <w:r>
        <w:rPr>
          <w:rFonts w:hint="eastAsia" w:ascii="黑体" w:hAnsi="黑体" w:eastAsia="黑体" w:cs="黑体"/>
          <w:sz w:val="32"/>
          <w:szCs w:val="32"/>
          <w:highlight w:val="none"/>
        </w:rPr>
        <w:t>资金拨付及管理</w:t>
      </w: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p>
    <w:p>
      <w:pPr>
        <w:keepNext w:val="0"/>
        <w:keepLines w:val="0"/>
        <w:pageBreakBefore w:val="0"/>
        <w:widowControl/>
        <w:tabs>
          <w:tab w:val="left" w:pos="0"/>
        </w:tabs>
        <w:kinsoku/>
        <w:wordWrap/>
        <w:overflowPunct/>
        <w:topLinePunct w:val="0"/>
        <w:autoSpaceDE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hint="eastAsia" w:ascii="黑体" w:hAnsi="黑体" w:eastAsia="黑体" w:cs="黑体"/>
          <w:sz w:val="32"/>
          <w:szCs w:val="32"/>
          <w:highlight w:val="none"/>
        </w:rPr>
        <w:t>第十一条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lang w:bidi="ar"/>
        </w:rPr>
        <w:t>佛山高新区管委会每年核定各园管理局在库火炬纳统企业的数量和本年工作经费，按照规定的审批程序，做好资金支出审批，划拨对应工作经费给各园管理局。各园管理局根据</w:t>
      </w:r>
      <w:r>
        <w:rPr>
          <w:rFonts w:hint="eastAsia" w:ascii="仿宋" w:hAnsi="仿宋" w:eastAsia="仿宋" w:cs="Times New Roman"/>
          <w:sz w:val="32"/>
          <w:szCs w:val="32"/>
          <w:highlight w:val="none"/>
        </w:rPr>
        <w:t>企业统计工作质效提升</w:t>
      </w:r>
      <w:r>
        <w:rPr>
          <w:rFonts w:hint="eastAsia" w:ascii="仿宋" w:hAnsi="仿宋" w:eastAsia="仿宋" w:cs="Times New Roman"/>
          <w:sz w:val="32"/>
          <w:szCs w:val="32"/>
          <w:highlight w:val="none"/>
          <w:lang w:bidi="ar"/>
        </w:rPr>
        <w:t>工作经费资助名单划拨资助资金及配套支持资金（如有）至项目承担单位的专（兼）职统计人员。</w:t>
      </w:r>
    </w:p>
    <w:p>
      <w:pPr>
        <w:keepNext w:val="0"/>
        <w:keepLines w:val="0"/>
        <w:pageBreakBefore w:val="0"/>
        <w:widowControl/>
        <w:tabs>
          <w:tab w:val="left" w:pos="0"/>
        </w:tabs>
        <w:kinsoku/>
        <w:wordWrap/>
        <w:overflowPunct/>
        <w:topLinePunct w:val="0"/>
        <w:autoSpaceDE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hint="eastAsia" w:ascii="黑体" w:hAnsi="黑体" w:eastAsia="黑体" w:cs="黑体"/>
          <w:sz w:val="32"/>
          <w:szCs w:val="32"/>
          <w:highlight w:val="none"/>
        </w:rPr>
        <w:t>第十二条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lang w:bidi="ar"/>
        </w:rPr>
        <w:t>各园管理局结合实际情况，制定企业统计工作质效提升工作经费实施方案，于经费下拨完成后形成资金使用报告，上报佛山高新区管委会备案。</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第十三条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企业统计工作质效提升</w:t>
      </w:r>
      <w:r>
        <w:rPr>
          <w:rFonts w:hint="eastAsia" w:ascii="仿宋" w:hAnsi="仿宋" w:eastAsia="仿宋" w:cs="Times New Roman"/>
          <w:sz w:val="32"/>
          <w:szCs w:val="32"/>
          <w:highlight w:val="none"/>
          <w:lang w:bidi="ar"/>
        </w:rPr>
        <w:t>工作经费补助的申报及资助实行信息公开管理，除涉及保密要求等特殊情况不予公开之外，按照《佛山高新技术产业开发区经济发展专项资金管理办法》的相关规定在</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佛山扶持通</w:t>
      </w:r>
      <w:r>
        <w:rPr>
          <w:rFonts w:ascii="仿宋" w:hAnsi="仿宋" w:eastAsia="仿宋" w:cs="Times New Roman"/>
          <w:sz w:val="32"/>
          <w:szCs w:val="32"/>
          <w:highlight w:val="none"/>
          <w:lang w:bidi="ar"/>
        </w:rPr>
        <w:t>”</w:t>
      </w:r>
      <w:r>
        <w:rPr>
          <w:rFonts w:hint="eastAsia" w:ascii="仿宋" w:hAnsi="仿宋" w:eastAsia="仿宋" w:cs="Times New Roman"/>
          <w:sz w:val="32"/>
          <w:szCs w:val="32"/>
          <w:highlight w:val="none"/>
          <w:lang w:bidi="ar"/>
        </w:rPr>
        <w:t>进行公开，主动接受社会监督。</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lang w:bidi="ar"/>
        </w:rPr>
      </w:pPr>
      <w:r>
        <w:rPr>
          <w:rFonts w:hint="eastAsia" w:ascii="黑体" w:hAnsi="黑体" w:eastAsia="黑体" w:cs="黑体"/>
          <w:sz w:val="32"/>
          <w:szCs w:val="32"/>
          <w:highlight w:val="none"/>
        </w:rPr>
        <w:t>第十四条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lang w:bidi="ar"/>
        </w:rPr>
        <w:t>预算年度终了或预算执行完毕，由</w:t>
      </w:r>
      <w:r>
        <w:rPr>
          <w:rFonts w:hint="eastAsia" w:ascii="仿宋" w:hAnsi="仿宋" w:eastAsia="仿宋" w:cs="Times New Roman"/>
          <w:sz w:val="32"/>
          <w:szCs w:val="32"/>
          <w:highlight w:val="none"/>
        </w:rPr>
        <w:t>科技创新局</w:t>
      </w:r>
      <w:r>
        <w:rPr>
          <w:rFonts w:hint="eastAsia" w:ascii="仿宋" w:hAnsi="仿宋" w:eastAsia="仿宋" w:cs="Times New Roman"/>
          <w:sz w:val="32"/>
          <w:szCs w:val="32"/>
          <w:highlight w:val="none"/>
          <w:lang w:bidi="ar"/>
        </w:rPr>
        <w:t>对当年度</w:t>
      </w:r>
      <w:r>
        <w:rPr>
          <w:rFonts w:hint="eastAsia" w:ascii="仿宋" w:hAnsi="仿宋" w:eastAsia="仿宋" w:cs="Times New Roman"/>
          <w:sz w:val="32"/>
          <w:szCs w:val="32"/>
          <w:highlight w:val="none"/>
        </w:rPr>
        <w:t>企业统计工作质效提升</w:t>
      </w:r>
      <w:r>
        <w:rPr>
          <w:rFonts w:hint="eastAsia" w:ascii="仿宋" w:hAnsi="仿宋" w:eastAsia="仿宋" w:cs="Times New Roman"/>
          <w:sz w:val="32"/>
          <w:szCs w:val="32"/>
          <w:highlight w:val="none"/>
          <w:lang w:bidi="ar"/>
        </w:rPr>
        <w:t>工作经费补助资金的绩效指标完成情况和预算执行情况进行评价，形成自评报告报</w:t>
      </w:r>
      <w:r>
        <w:rPr>
          <w:rFonts w:hint="eastAsia" w:ascii="仿宋" w:hAnsi="仿宋" w:eastAsia="仿宋" w:cs="Times New Roman"/>
          <w:sz w:val="32"/>
          <w:szCs w:val="32"/>
          <w:highlight w:val="none"/>
        </w:rPr>
        <w:t>规划和</w:t>
      </w:r>
      <w:r>
        <w:rPr>
          <w:rFonts w:ascii="仿宋" w:hAnsi="仿宋" w:eastAsia="仿宋" w:cs="Times New Roman"/>
          <w:sz w:val="32"/>
          <w:szCs w:val="32"/>
          <w:highlight w:val="none"/>
        </w:rPr>
        <w:t>财政</w:t>
      </w:r>
      <w:r>
        <w:rPr>
          <w:rFonts w:hint="eastAsia" w:ascii="仿宋" w:hAnsi="仿宋" w:eastAsia="仿宋" w:cs="Times New Roman"/>
          <w:sz w:val="32"/>
          <w:szCs w:val="32"/>
          <w:highlight w:val="none"/>
        </w:rPr>
        <w:t>局</w:t>
      </w:r>
      <w:r>
        <w:rPr>
          <w:rFonts w:hint="eastAsia" w:ascii="仿宋" w:hAnsi="仿宋" w:eastAsia="仿宋" w:cs="Times New Roman"/>
          <w:sz w:val="32"/>
          <w:szCs w:val="32"/>
          <w:highlight w:val="none"/>
          <w:lang w:bidi="ar"/>
        </w:rPr>
        <w:t>备案。绩效评价具体工作参照《佛山高新技术产业开发区经济发展专项资金管理办法》的相关规定开展。</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第十五条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lang w:bidi="ar"/>
        </w:rPr>
        <w:t>佛山高新区管委会计提专项资金总额</w:t>
      </w:r>
      <w:r>
        <w:rPr>
          <w:rFonts w:ascii="仿宋" w:hAnsi="仿宋" w:eastAsia="仿宋" w:cs="Times New Roman"/>
          <w:sz w:val="32"/>
          <w:szCs w:val="32"/>
          <w:highlight w:val="none"/>
          <w:lang w:bidi="ar"/>
        </w:rPr>
        <w:t>1</w:t>
      </w:r>
      <w:r>
        <w:rPr>
          <w:rFonts w:hint="eastAsia" w:ascii="仿宋" w:hAnsi="仿宋" w:eastAsia="仿宋" w:cs="Times New Roman"/>
          <w:sz w:val="32"/>
          <w:szCs w:val="32"/>
          <w:highlight w:val="none"/>
          <w:lang w:bidi="ar"/>
        </w:rPr>
        <w:t>％的前期工作经费（用于下一年度预算项目入库的前期论证、立项、入库评审等）及</w:t>
      </w:r>
      <w:r>
        <w:rPr>
          <w:rFonts w:ascii="仿宋" w:hAnsi="仿宋" w:eastAsia="仿宋" w:cs="Times New Roman"/>
          <w:sz w:val="32"/>
          <w:szCs w:val="32"/>
          <w:highlight w:val="none"/>
          <w:lang w:bidi="ar"/>
        </w:rPr>
        <w:t>1</w:t>
      </w:r>
      <w:r>
        <w:rPr>
          <w:rFonts w:hint="eastAsia" w:ascii="仿宋" w:hAnsi="仿宋" w:eastAsia="仿宋" w:cs="Times New Roman"/>
          <w:sz w:val="32"/>
          <w:szCs w:val="32"/>
          <w:highlight w:val="none"/>
          <w:lang w:bidi="ar"/>
        </w:rPr>
        <w:t>％的事中事后工作经费（用于本年度及以前年度项目验收考评、监督检查、内部审计、绩效管理等）。有其他文件专门就工作经费作出规定的按规定执行。</w:t>
      </w:r>
    </w:p>
    <w:p>
      <w:pPr>
        <w:keepNext w:val="0"/>
        <w:keepLines w:val="0"/>
        <w:pageBreakBefore w:val="0"/>
        <w:kinsoku/>
        <w:wordWrap/>
        <w:overflowPunct/>
        <w:topLinePunct w:val="0"/>
        <w:autoSpaceDN/>
        <w:bidi w:val="0"/>
        <w:adjustRightInd/>
        <w:snapToGrid/>
        <w:spacing w:line="560" w:lineRule="exact"/>
        <w:ind w:firstLine="643" w:firstLineChars="200"/>
        <w:textAlignment w:val="auto"/>
        <w:rPr>
          <w:rFonts w:ascii="仿宋" w:hAnsi="仿宋" w:eastAsia="仿宋" w:cs="Times New Roman"/>
          <w:b/>
          <w:bCs/>
          <w:sz w:val="32"/>
          <w:szCs w:val="32"/>
          <w:highlight w:val="none"/>
        </w:rPr>
      </w:pP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r>
        <w:rPr>
          <w:rFonts w:hint="eastAsia" w:ascii="黑体" w:hAnsi="黑体" w:eastAsia="黑体" w:cs="黑体"/>
          <w:sz w:val="32"/>
          <w:szCs w:val="32"/>
          <w:highlight w:val="none"/>
        </w:rPr>
        <w:t>第六章</w:t>
      </w:r>
      <w:r>
        <w:rPr>
          <w:rFonts w:ascii="黑体" w:hAnsi="黑体" w:eastAsia="黑体" w:cs="黑体"/>
          <w:sz w:val="32"/>
          <w:szCs w:val="32"/>
          <w:highlight w:val="none"/>
        </w:rPr>
        <w:t xml:space="preserve"> </w:t>
      </w:r>
      <w:r>
        <w:rPr>
          <w:rFonts w:hint="eastAsia" w:ascii="黑体" w:hAnsi="黑体" w:eastAsia="黑体" w:cs="黑体"/>
          <w:sz w:val="32"/>
          <w:szCs w:val="32"/>
          <w:highlight w:val="none"/>
        </w:rPr>
        <w:t>责任追究</w:t>
      </w: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p>
    <w:p>
      <w:pPr>
        <w:keepNext w:val="0"/>
        <w:keepLines w:val="0"/>
        <w:pageBreakBefore w:val="0"/>
        <w:kinsoku/>
        <w:wordWrap/>
        <w:overflowPunct/>
        <w:topLinePunct w:val="0"/>
        <w:autoSpaceDN/>
        <w:bidi w:val="0"/>
        <w:adjustRightInd/>
        <w:snapToGrid/>
        <w:spacing w:line="560" w:lineRule="exact"/>
        <w:ind w:firstLine="64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第十六条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对负责专项资金管理的佛山高新区管委会分管领导、部门领导、经办人员在专项资金评审、分配、审批过程中存在违纪违法行为的，按照</w:t>
      </w:r>
      <w:r>
        <w:rPr>
          <w:rFonts w:ascii="仿宋" w:hAnsi="仿宋" w:eastAsia="仿宋" w:cs="Times New Roman"/>
          <w:sz w:val="32"/>
          <w:szCs w:val="32"/>
          <w:highlight w:val="none"/>
        </w:rPr>
        <w:t>“</w:t>
      </w:r>
      <w:r>
        <w:rPr>
          <w:rFonts w:hint="eastAsia" w:ascii="仿宋" w:hAnsi="仿宋" w:eastAsia="仿宋" w:cs="Times New Roman"/>
          <w:sz w:val="32"/>
          <w:szCs w:val="32"/>
          <w:highlight w:val="none"/>
        </w:rPr>
        <w:t>谁审批、谁负责</w:t>
      </w:r>
      <w:r>
        <w:rPr>
          <w:rFonts w:ascii="仿宋" w:hAnsi="仿宋" w:eastAsia="仿宋" w:cs="Times New Roman"/>
          <w:sz w:val="32"/>
          <w:szCs w:val="32"/>
          <w:highlight w:val="none"/>
        </w:rPr>
        <w:t>”</w:t>
      </w:r>
      <w:r>
        <w:rPr>
          <w:rFonts w:hint="eastAsia" w:ascii="仿宋" w:hAnsi="仿宋" w:eastAsia="仿宋" w:cs="Times New Roman"/>
          <w:sz w:val="32"/>
          <w:szCs w:val="32"/>
          <w:highlight w:val="none"/>
        </w:rPr>
        <w:t>的原则，视情节轻重承担相应责任。构成犯罪的，依法移送司法机关。</w:t>
      </w:r>
    </w:p>
    <w:p>
      <w:pPr>
        <w:keepNext w:val="0"/>
        <w:keepLines w:val="0"/>
        <w:pageBreakBefore w:val="0"/>
        <w:widowControl/>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第十七条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项目承担单位在财政资金申报、管理、使用过程中，存在挪用、截留、冒领统计人员补助经费等违法违规行为的，将依法依规作出严肃处理，追回专项资金，</w:t>
      </w:r>
      <w:r>
        <w:rPr>
          <w:rFonts w:ascii="仿宋" w:hAnsi="仿宋" w:eastAsia="仿宋" w:cs="Times New Roman"/>
          <w:sz w:val="32"/>
          <w:szCs w:val="32"/>
          <w:highlight w:val="none"/>
        </w:rPr>
        <w:t>5</w:t>
      </w:r>
      <w:r>
        <w:rPr>
          <w:rFonts w:hint="eastAsia" w:ascii="仿宋" w:hAnsi="仿宋" w:eastAsia="仿宋" w:cs="Times New Roman"/>
          <w:sz w:val="32"/>
          <w:szCs w:val="32"/>
          <w:highlight w:val="none"/>
        </w:rPr>
        <w:t>年内停止其申报相关专项资金资格，并向社会公开其违法违规信息。</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u w:val="single"/>
        </w:rPr>
      </w:pPr>
      <w:r>
        <w:rPr>
          <w:rFonts w:hint="eastAsia" w:ascii="黑体" w:hAnsi="黑体" w:eastAsia="黑体" w:cs="黑体"/>
          <w:sz w:val="32"/>
          <w:szCs w:val="32"/>
          <w:highlight w:val="none"/>
        </w:rPr>
        <w:t>第十八条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第三方服务机构按照科技创新局委托事项要求开展具体事务性工作，对其在提供服务过程中存在违法违规行为的，应立即终止合作协议，取消其提供服务资格。</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r>
        <w:rPr>
          <w:rFonts w:hint="eastAsia" w:ascii="黑体" w:hAnsi="黑体" w:eastAsia="黑体" w:cs="黑体"/>
          <w:sz w:val="32"/>
          <w:szCs w:val="32"/>
          <w:highlight w:val="none"/>
        </w:rPr>
        <w:t>第七章</w:t>
      </w:r>
      <w:r>
        <w:rPr>
          <w:rFonts w:ascii="黑体" w:hAnsi="黑体" w:eastAsia="黑体" w:cs="黑体"/>
          <w:sz w:val="32"/>
          <w:szCs w:val="32"/>
          <w:highlight w:val="none"/>
        </w:rPr>
        <w:t xml:space="preserve"> </w:t>
      </w:r>
      <w:r>
        <w:rPr>
          <w:rFonts w:hint="eastAsia" w:ascii="黑体" w:hAnsi="黑体" w:eastAsia="黑体" w:cs="黑体"/>
          <w:sz w:val="32"/>
          <w:szCs w:val="32"/>
          <w:highlight w:val="none"/>
        </w:rPr>
        <w:t>附</w:t>
      </w:r>
      <w:r>
        <w:rPr>
          <w:rFonts w:ascii="黑体" w:hAnsi="黑体" w:eastAsia="黑体" w:cs="黑体"/>
          <w:sz w:val="32"/>
          <w:szCs w:val="32"/>
          <w:highlight w:val="none"/>
        </w:rPr>
        <w:t xml:space="preserve"> </w:t>
      </w:r>
      <w:r>
        <w:rPr>
          <w:rFonts w:hint="eastAsia" w:ascii="黑体" w:hAnsi="黑体" w:eastAsia="黑体" w:cs="黑体"/>
          <w:sz w:val="32"/>
          <w:szCs w:val="32"/>
          <w:highlight w:val="none"/>
        </w:rPr>
        <w:t>则</w:t>
      </w:r>
    </w:p>
    <w:p>
      <w:pPr>
        <w:keepNext w:val="0"/>
        <w:keepLines w:val="0"/>
        <w:pageBreakBefore w:val="0"/>
        <w:kinsoku/>
        <w:wordWrap/>
        <w:overflowPunct/>
        <w:topLinePunct w:val="0"/>
        <w:autoSpaceDN/>
        <w:bidi w:val="0"/>
        <w:adjustRightInd/>
        <w:snapToGrid/>
        <w:spacing w:line="560" w:lineRule="exact"/>
        <w:jc w:val="center"/>
        <w:textAlignment w:val="auto"/>
        <w:rPr>
          <w:rFonts w:ascii="黑体" w:hAnsi="黑体" w:eastAsia="黑体" w:cs="黑体"/>
          <w:sz w:val="32"/>
          <w:szCs w:val="32"/>
          <w:highlight w:val="none"/>
        </w:rPr>
      </w:pP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第十九条</w:t>
      </w:r>
      <w:r>
        <w:rPr>
          <w:rFonts w:ascii="仿宋" w:hAnsi="仿宋" w:eastAsia="仿宋" w:cs="Times New Roman"/>
          <w:sz w:val="32"/>
          <w:szCs w:val="32"/>
          <w:highlight w:val="none"/>
        </w:rPr>
        <w:t xml:space="preserve"> </w:t>
      </w:r>
      <w:r>
        <w:rPr>
          <w:rFonts w:hint="eastAsia" w:ascii="仿宋" w:hAnsi="仿宋" w:eastAsia="仿宋" w:cs="Times New Roman"/>
          <w:sz w:val="32"/>
          <w:highlight w:val="none"/>
        </w:rPr>
        <w:t>除政策明确规定额外奖补情况外，对符合本细则同时又符合佛山市其他扶持政策规定的同类事项，按照</w:t>
      </w:r>
      <w:r>
        <w:rPr>
          <w:rFonts w:ascii="仿宋" w:hAnsi="仿宋" w:eastAsia="仿宋" w:cs="Times New Roman"/>
          <w:sz w:val="32"/>
          <w:highlight w:val="none"/>
        </w:rPr>
        <w:t>“</w:t>
      </w:r>
      <w:r>
        <w:rPr>
          <w:rFonts w:hint="eastAsia" w:ascii="仿宋" w:hAnsi="仿宋" w:eastAsia="仿宋" w:cs="Times New Roman"/>
          <w:sz w:val="32"/>
          <w:highlight w:val="none"/>
        </w:rPr>
        <w:t>从高不重复</w:t>
      </w:r>
      <w:r>
        <w:rPr>
          <w:rFonts w:ascii="仿宋" w:hAnsi="仿宋" w:eastAsia="仿宋" w:cs="Times New Roman"/>
          <w:sz w:val="32"/>
          <w:highlight w:val="none"/>
        </w:rPr>
        <w:t>”</w:t>
      </w:r>
      <w:r>
        <w:rPr>
          <w:rFonts w:hint="eastAsia" w:ascii="仿宋" w:hAnsi="仿宋" w:eastAsia="仿宋" w:cs="Times New Roman"/>
          <w:sz w:val="32"/>
          <w:highlight w:val="none"/>
        </w:rPr>
        <w:t>原则给予支持。</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仿宋" w:hAnsi="仿宋" w:eastAsia="仿宋" w:cs="Times New Roman"/>
          <w:sz w:val="32"/>
          <w:szCs w:val="32"/>
          <w:highlight w:val="none"/>
        </w:rPr>
      </w:pPr>
      <w:r>
        <w:rPr>
          <w:rFonts w:hint="eastAsia" w:ascii="黑体" w:hAnsi="黑体" w:eastAsia="黑体" w:cs="黑体"/>
          <w:sz w:val="32"/>
          <w:szCs w:val="32"/>
          <w:highlight w:val="none"/>
        </w:rPr>
        <w:t>第二十条</w:t>
      </w:r>
      <w:r>
        <w:rPr>
          <w:rFonts w:ascii="仿宋" w:hAnsi="仿宋" w:eastAsia="仿宋" w:cs="Times New Roman"/>
          <w:sz w:val="32"/>
          <w:szCs w:val="32"/>
          <w:highlight w:val="none"/>
        </w:rPr>
        <w:t xml:space="preserve"> </w:t>
      </w:r>
      <w:r>
        <w:rPr>
          <w:rFonts w:hint="eastAsia" w:ascii="仿宋" w:hAnsi="仿宋" w:eastAsia="仿宋" w:cs="Times New Roman"/>
          <w:sz w:val="32"/>
          <w:szCs w:val="32"/>
          <w:highlight w:val="none"/>
        </w:rPr>
        <w:t>本细则由佛山高新区管委会负责解释。</w:t>
      </w:r>
    </w:p>
    <w:p>
      <w:pPr>
        <w:keepNext w:val="0"/>
        <w:keepLines w:val="0"/>
        <w:pageBreakBefore w:val="0"/>
        <w:kinsoku/>
        <w:wordWrap/>
        <w:overflowPunct/>
        <w:topLinePunct w:val="0"/>
        <w:autoSpaceDN/>
        <w:bidi w:val="0"/>
        <w:adjustRightInd/>
        <w:snapToGrid/>
        <w:spacing w:line="560" w:lineRule="exact"/>
        <w:ind w:firstLine="640" w:firstLineChars="200"/>
        <w:textAlignment w:val="auto"/>
        <w:rPr>
          <w:rFonts w:ascii="Times New Roman" w:hAnsi="Times New Roman" w:eastAsia="仿宋_GB2312" w:cs="Times New Roman"/>
          <w:sz w:val="32"/>
          <w:szCs w:val="32"/>
          <w:highlight w:val="none"/>
        </w:rPr>
      </w:pPr>
      <w:r>
        <w:rPr>
          <w:rFonts w:hint="eastAsia" w:ascii="黑体" w:hAnsi="黑体" w:eastAsia="黑体" w:cs="黑体"/>
          <w:sz w:val="32"/>
          <w:szCs w:val="32"/>
          <w:highlight w:val="none"/>
        </w:rPr>
        <w:t>第二十一条</w:t>
      </w:r>
      <w:r>
        <w:rPr>
          <w:rFonts w:ascii="仿宋" w:hAnsi="仿宋" w:eastAsia="仿宋" w:cs="Times New Roman"/>
          <w:b/>
          <w:bCs/>
          <w:sz w:val="32"/>
          <w:szCs w:val="32"/>
          <w:highlight w:val="none"/>
        </w:rPr>
        <w:t xml:space="preserve"> </w:t>
      </w:r>
      <w:r>
        <w:rPr>
          <w:rFonts w:hint="eastAsia" w:ascii="仿宋" w:hAnsi="仿宋" w:eastAsia="仿宋" w:cs="Times New Roman"/>
          <w:sz w:val="32"/>
          <w:szCs w:val="32"/>
          <w:highlight w:val="none"/>
        </w:rPr>
        <w:t>本细则自印发之日起实施，有效期</w:t>
      </w:r>
      <w:r>
        <w:rPr>
          <w:rFonts w:ascii="仿宋" w:hAnsi="仿宋" w:eastAsia="仿宋" w:cs="Times New Roman"/>
          <w:sz w:val="32"/>
          <w:szCs w:val="32"/>
          <w:highlight w:val="none"/>
        </w:rPr>
        <w:t>3</w:t>
      </w:r>
      <w:r>
        <w:rPr>
          <w:rFonts w:hint="eastAsia" w:ascii="仿宋" w:hAnsi="仿宋" w:eastAsia="仿宋" w:cs="Times New Roman"/>
          <w:sz w:val="32"/>
          <w:szCs w:val="32"/>
          <w:highlight w:val="none"/>
        </w:rPr>
        <w:t>年。</w:t>
      </w:r>
      <w:r>
        <w:rPr>
          <w:rFonts w:ascii="Times New Roman" w:hAnsi="Times New Roman" w:eastAsia="仿宋_GB2312" w:cs="Times New Roman"/>
          <w:sz w:val="32"/>
          <w:szCs w:val="32"/>
          <w:highlight w:val="none"/>
        </w:rPr>
        <w:br w:type="page"/>
      </w:r>
    </w:p>
    <w:p>
      <w:pPr>
        <w:widowControl/>
        <w:tabs>
          <w:tab w:val="left" w:pos="0"/>
        </w:tabs>
        <w:autoSpaceDE w:val="0"/>
        <w:spacing w:line="360" w:lineRule="auto"/>
        <w:rPr>
          <w:rFonts w:ascii="Times New Roman" w:hAnsi="Times New Roman" w:eastAsia="黑体" w:cs="Times New Roman"/>
          <w:kern w:val="0"/>
          <w:sz w:val="32"/>
          <w:szCs w:val="32"/>
          <w:highlight w:val="none"/>
          <w:lang w:bidi="ar"/>
        </w:rPr>
      </w:pPr>
      <w:r>
        <w:rPr>
          <w:rFonts w:ascii="Times New Roman" w:hAnsi="Times New Roman" w:eastAsia="黑体" w:cs="Times New Roman"/>
          <w:kern w:val="0"/>
          <w:sz w:val="32"/>
          <w:szCs w:val="32"/>
          <w:highlight w:val="none"/>
          <w:lang w:bidi="ar"/>
        </w:rPr>
        <w:t xml:space="preserve">附件 </w:t>
      </w:r>
    </w:p>
    <w:p>
      <w:pPr>
        <w:spacing w:line="560" w:lineRule="exact"/>
        <w:jc w:val="center"/>
        <w:rPr>
          <w:rFonts w:ascii="Times New Roman" w:hAnsi="Times New Roman" w:eastAsia="方正小标宋简体" w:cs="Times New Roman"/>
          <w:sz w:val="44"/>
          <w:szCs w:val="44"/>
          <w:highlight w:val="none"/>
        </w:rPr>
      </w:pPr>
    </w:p>
    <w:p>
      <w:pPr>
        <w:spacing w:line="560" w:lineRule="exact"/>
        <w:jc w:val="center"/>
        <w:rPr>
          <w:rFonts w:ascii="Times New Roman" w:hAnsi="Times New Roman" w:eastAsia="方正小标宋简体" w:cs="Times New Roman"/>
          <w:sz w:val="44"/>
          <w:szCs w:val="44"/>
          <w:highlight w:val="none"/>
        </w:rPr>
      </w:pPr>
      <w:r>
        <w:rPr>
          <w:rFonts w:ascii="Times New Roman" w:hAnsi="Times New Roman" w:eastAsia="方正小标宋简体" w:cs="Times New Roman"/>
          <w:sz w:val="44"/>
          <w:szCs w:val="44"/>
          <w:highlight w:val="none"/>
        </w:rPr>
        <w:t>佛山高新技术产业开发区企业统计工作</w:t>
      </w:r>
    </w:p>
    <w:p>
      <w:pPr>
        <w:spacing w:line="560" w:lineRule="exact"/>
        <w:jc w:val="center"/>
        <w:rPr>
          <w:rFonts w:ascii="Times New Roman" w:hAnsi="Times New Roman" w:eastAsia="方正小标宋简体" w:cs="Times New Roman"/>
          <w:sz w:val="44"/>
          <w:szCs w:val="44"/>
          <w:highlight w:val="none"/>
        </w:rPr>
      </w:pPr>
      <w:r>
        <w:rPr>
          <w:rFonts w:ascii="Times New Roman" w:hAnsi="Times New Roman" w:eastAsia="方正小标宋简体" w:cs="Times New Roman"/>
          <w:sz w:val="44"/>
          <w:szCs w:val="44"/>
          <w:highlight w:val="none"/>
        </w:rPr>
        <w:t>质效提升评分表</w:t>
      </w:r>
    </w:p>
    <w:p>
      <w:pPr>
        <w:widowControl/>
        <w:tabs>
          <w:tab w:val="left" w:pos="0"/>
        </w:tabs>
        <w:autoSpaceDE w:val="0"/>
        <w:spacing w:line="360" w:lineRule="auto"/>
        <w:rPr>
          <w:rFonts w:ascii="Times New Roman" w:hAnsi="Times New Roman" w:eastAsia="仿宋" w:cs="Times New Roman"/>
          <w:kern w:val="0"/>
          <w:sz w:val="24"/>
          <w:highlight w:val="none"/>
          <w:lang w:bidi="ar"/>
        </w:rPr>
      </w:pPr>
    </w:p>
    <w:p>
      <w:pPr>
        <w:widowControl/>
        <w:tabs>
          <w:tab w:val="left" w:pos="0"/>
        </w:tabs>
        <w:autoSpaceDE w:val="0"/>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企业名称（盖章）：</w:t>
      </w:r>
    </w:p>
    <w:p>
      <w:pPr>
        <w:widowControl/>
        <w:tabs>
          <w:tab w:val="left" w:pos="0"/>
        </w:tabs>
        <w:autoSpaceDE w:val="0"/>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统一社会信用代码：</w:t>
      </w:r>
    </w:p>
    <w:tbl>
      <w:tblPr>
        <w:tblStyle w:val="6"/>
        <w:tblW w:w="9923" w:type="dxa"/>
        <w:tblInd w:w="-856" w:type="dxa"/>
        <w:tblLayout w:type="fixed"/>
        <w:tblCellMar>
          <w:top w:w="0" w:type="dxa"/>
          <w:left w:w="0" w:type="dxa"/>
          <w:bottom w:w="0" w:type="dxa"/>
          <w:right w:w="0" w:type="dxa"/>
        </w:tblCellMar>
      </w:tblPr>
      <w:tblGrid>
        <w:gridCol w:w="993"/>
        <w:gridCol w:w="425"/>
        <w:gridCol w:w="6237"/>
        <w:gridCol w:w="851"/>
        <w:gridCol w:w="709"/>
        <w:gridCol w:w="708"/>
      </w:tblGrid>
      <w:tr>
        <w:tblPrEx>
          <w:tblLayout w:type="fixed"/>
          <w:tblCellMar>
            <w:top w:w="0" w:type="dxa"/>
            <w:left w:w="0" w:type="dxa"/>
            <w:bottom w:w="0" w:type="dxa"/>
            <w:right w:w="0" w:type="dxa"/>
          </w:tblCellMar>
        </w:tblPrEx>
        <w:trPr>
          <w:trHeight w:val="270" w:hRule="atLeast"/>
        </w:trPr>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b/>
                <w:bCs/>
                <w:kern w:val="0"/>
                <w:sz w:val="24"/>
                <w:szCs w:val="24"/>
                <w:highlight w:val="none"/>
                <w:lang w:bidi="ar"/>
              </w:rPr>
            </w:pPr>
            <w:r>
              <w:rPr>
                <w:rFonts w:ascii="Times New Roman" w:hAnsi="Times New Roman" w:eastAsia="仿宋" w:cs="Times New Roman"/>
                <w:b/>
                <w:bCs/>
                <w:kern w:val="0"/>
                <w:sz w:val="24"/>
                <w:szCs w:val="24"/>
                <w:highlight w:val="none"/>
                <w:lang w:bidi="ar"/>
              </w:rPr>
              <w:t>评估</w:t>
            </w:r>
          </w:p>
          <w:p>
            <w:pPr>
              <w:widowControl/>
              <w:tabs>
                <w:tab w:val="left" w:pos="0"/>
              </w:tabs>
              <w:autoSpaceDE w:val="0"/>
              <w:jc w:val="center"/>
              <w:rPr>
                <w:rFonts w:ascii="Times New Roman" w:hAnsi="Times New Roman" w:eastAsia="仿宋" w:cs="Times New Roman"/>
                <w:b/>
                <w:bCs/>
                <w:kern w:val="0"/>
                <w:sz w:val="24"/>
                <w:highlight w:val="none"/>
                <w:lang w:bidi="ar"/>
              </w:rPr>
            </w:pPr>
            <w:r>
              <w:rPr>
                <w:rFonts w:ascii="Times New Roman" w:hAnsi="Times New Roman" w:eastAsia="仿宋" w:cs="Times New Roman"/>
                <w:b/>
                <w:bCs/>
                <w:kern w:val="0"/>
                <w:sz w:val="24"/>
                <w:szCs w:val="24"/>
                <w:highlight w:val="none"/>
                <w:lang w:bidi="ar"/>
              </w:rPr>
              <w:t>内容</w:t>
            </w:r>
          </w:p>
        </w:tc>
        <w:tc>
          <w:tcPr>
            <w:tcW w:w="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b/>
                <w:bCs/>
                <w:kern w:val="0"/>
                <w:sz w:val="24"/>
                <w:highlight w:val="none"/>
                <w:lang w:bidi="ar"/>
              </w:rPr>
            </w:pPr>
            <w:r>
              <w:rPr>
                <w:rFonts w:ascii="Times New Roman" w:hAnsi="Times New Roman" w:eastAsia="仿宋" w:cs="Times New Roman"/>
                <w:b/>
                <w:bCs/>
                <w:kern w:val="0"/>
                <w:sz w:val="24"/>
                <w:szCs w:val="24"/>
                <w:highlight w:val="none"/>
                <w:lang w:bidi="ar"/>
              </w:rPr>
              <w:t>分值</w:t>
            </w: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b/>
                <w:bCs/>
                <w:kern w:val="0"/>
                <w:sz w:val="24"/>
                <w:highlight w:val="none"/>
                <w:lang w:bidi="ar"/>
              </w:rPr>
            </w:pPr>
            <w:r>
              <w:rPr>
                <w:rFonts w:ascii="Times New Roman" w:hAnsi="Times New Roman" w:eastAsia="仿宋" w:cs="Times New Roman"/>
                <w:b/>
                <w:bCs/>
                <w:kern w:val="0"/>
                <w:sz w:val="24"/>
                <w:szCs w:val="24"/>
                <w:highlight w:val="none"/>
                <w:lang w:bidi="ar"/>
              </w:rPr>
              <w:t>评估标准</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b/>
                <w:bCs/>
                <w:kern w:val="0"/>
                <w:sz w:val="24"/>
                <w:highlight w:val="none"/>
                <w:lang w:bidi="ar"/>
              </w:rPr>
            </w:pPr>
            <w:r>
              <w:rPr>
                <w:rFonts w:ascii="Times New Roman" w:hAnsi="Times New Roman" w:eastAsia="仿宋" w:cs="Times New Roman"/>
                <w:b/>
                <w:bCs/>
                <w:kern w:val="0"/>
                <w:sz w:val="24"/>
                <w:szCs w:val="24"/>
                <w:highlight w:val="none"/>
                <w:lang w:bidi="ar"/>
              </w:rPr>
              <w:t>细分项分值</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b/>
                <w:bCs/>
                <w:kern w:val="0"/>
                <w:sz w:val="24"/>
                <w:highlight w:val="none"/>
                <w:lang w:bidi="ar"/>
              </w:rPr>
            </w:pPr>
            <w:r>
              <w:rPr>
                <w:rFonts w:ascii="Times New Roman" w:hAnsi="Times New Roman" w:eastAsia="仿宋" w:cs="Times New Roman"/>
                <w:b/>
                <w:bCs/>
                <w:kern w:val="0"/>
                <w:sz w:val="24"/>
                <w:szCs w:val="24"/>
                <w:highlight w:val="none"/>
                <w:lang w:bidi="ar"/>
              </w:rPr>
              <w:t>自查</w:t>
            </w:r>
          </w:p>
          <w:p>
            <w:pPr>
              <w:widowControl/>
              <w:tabs>
                <w:tab w:val="left" w:pos="0"/>
              </w:tabs>
              <w:autoSpaceDE w:val="0"/>
              <w:jc w:val="center"/>
              <w:rPr>
                <w:rFonts w:ascii="Times New Roman" w:hAnsi="Times New Roman" w:eastAsia="仿宋" w:cs="Times New Roman"/>
                <w:b/>
                <w:bCs/>
                <w:kern w:val="0"/>
                <w:sz w:val="24"/>
                <w:highlight w:val="none"/>
                <w:lang w:bidi="ar"/>
              </w:rPr>
            </w:pPr>
            <w:r>
              <w:rPr>
                <w:rFonts w:ascii="Times New Roman" w:hAnsi="Times New Roman" w:eastAsia="仿宋" w:cs="Times New Roman"/>
                <w:b/>
                <w:bCs/>
                <w:kern w:val="0"/>
                <w:sz w:val="24"/>
                <w:szCs w:val="24"/>
                <w:highlight w:val="none"/>
                <w:lang w:bidi="ar"/>
              </w:rPr>
              <w:t>得分</w:t>
            </w: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b/>
                <w:bCs/>
                <w:kern w:val="0"/>
                <w:sz w:val="24"/>
                <w:highlight w:val="none"/>
                <w:lang w:bidi="ar"/>
              </w:rPr>
            </w:pPr>
            <w:r>
              <w:rPr>
                <w:rFonts w:ascii="Times New Roman" w:hAnsi="Times New Roman" w:eastAsia="仿宋" w:cs="Times New Roman"/>
                <w:b/>
                <w:bCs/>
                <w:kern w:val="0"/>
                <w:sz w:val="24"/>
                <w:szCs w:val="24"/>
                <w:highlight w:val="none"/>
                <w:lang w:bidi="ar"/>
              </w:rPr>
              <w:t>初审</w:t>
            </w:r>
          </w:p>
          <w:p>
            <w:pPr>
              <w:widowControl/>
              <w:tabs>
                <w:tab w:val="left" w:pos="0"/>
              </w:tabs>
              <w:autoSpaceDE w:val="0"/>
              <w:jc w:val="center"/>
              <w:rPr>
                <w:rFonts w:ascii="Times New Roman" w:hAnsi="Times New Roman" w:eastAsia="仿宋" w:cs="Times New Roman"/>
                <w:b/>
                <w:bCs/>
                <w:kern w:val="0"/>
                <w:sz w:val="24"/>
                <w:highlight w:val="none"/>
                <w:lang w:bidi="ar"/>
              </w:rPr>
            </w:pPr>
            <w:r>
              <w:rPr>
                <w:rFonts w:ascii="Times New Roman" w:hAnsi="Times New Roman" w:eastAsia="仿宋" w:cs="Times New Roman"/>
                <w:b/>
                <w:bCs/>
                <w:kern w:val="0"/>
                <w:sz w:val="24"/>
                <w:szCs w:val="24"/>
                <w:highlight w:val="none"/>
                <w:lang w:bidi="ar"/>
              </w:rPr>
              <w:t>得分</w:t>
            </w:r>
          </w:p>
        </w:tc>
      </w:tr>
      <w:tr>
        <w:tblPrEx>
          <w:tblLayout w:type="fixed"/>
          <w:tblCellMar>
            <w:top w:w="0" w:type="dxa"/>
            <w:left w:w="0" w:type="dxa"/>
            <w:bottom w:w="0" w:type="dxa"/>
            <w:right w:w="0" w:type="dxa"/>
          </w:tblCellMar>
        </w:tblPrEx>
        <w:trPr>
          <w:trHeight w:val="270" w:hRule="atLeast"/>
        </w:trPr>
        <w:tc>
          <w:tcPr>
            <w:tcW w:w="9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统计体</w:t>
            </w:r>
          </w:p>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系建设</w:t>
            </w:r>
          </w:p>
        </w:tc>
        <w:tc>
          <w:tcPr>
            <w:tcW w:w="4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10</w:t>
            </w: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①</w:t>
            </w:r>
            <w:r>
              <w:rPr>
                <w:rFonts w:ascii="Times New Roman" w:hAnsi="Times New Roman" w:eastAsia="仿宋" w:cs="Times New Roman"/>
                <w:kern w:val="0"/>
                <w:sz w:val="24"/>
                <w:szCs w:val="24"/>
                <w:highlight w:val="none"/>
                <w:lang w:bidi="ar"/>
              </w:rPr>
              <w:t>积极主动参加统计普法教育。</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5</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540" w:hRule="atLeast"/>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②</w:t>
            </w:r>
            <w:r>
              <w:rPr>
                <w:rFonts w:ascii="Times New Roman" w:hAnsi="Times New Roman" w:eastAsia="仿宋" w:cs="Times New Roman"/>
                <w:kern w:val="0"/>
                <w:sz w:val="24"/>
                <w:szCs w:val="24"/>
                <w:highlight w:val="none"/>
                <w:lang w:bidi="ar"/>
              </w:rPr>
              <w:t>依法开展统计工作，不得虚报、瞒报、迟报、拒报、伪造、篡改统计资料，积极配合政府统计部门的监督检查。</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5</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810" w:hRule="atLeast"/>
        </w:trPr>
        <w:tc>
          <w:tcPr>
            <w:tcW w:w="9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统计队</w:t>
            </w:r>
          </w:p>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伍建设</w:t>
            </w:r>
          </w:p>
        </w:tc>
        <w:tc>
          <w:tcPr>
            <w:tcW w:w="4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30</w:t>
            </w: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①</w:t>
            </w:r>
            <w:r>
              <w:rPr>
                <w:rFonts w:ascii="Times New Roman" w:hAnsi="Times New Roman" w:eastAsia="仿宋" w:cs="Times New Roman"/>
                <w:kern w:val="0"/>
                <w:sz w:val="24"/>
                <w:szCs w:val="24"/>
                <w:highlight w:val="none"/>
                <w:lang w:bidi="ar"/>
              </w:rPr>
              <w:t>明确企业统计工作人员，熟悉掌握本单位统计报表制度中的各项规定，如实提供本单位统计资料，准确、及时、全面地完成各项统计任务。</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10</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②</w:t>
            </w:r>
            <w:r>
              <w:rPr>
                <w:rFonts w:ascii="Times New Roman" w:hAnsi="Times New Roman" w:eastAsia="仿宋" w:cs="Times New Roman"/>
                <w:kern w:val="0"/>
                <w:sz w:val="24"/>
                <w:szCs w:val="24"/>
                <w:highlight w:val="none"/>
                <w:lang w:bidi="ar"/>
              </w:rPr>
              <w:t>企业领导依法履行职责，重视支持统计工作。</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10</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③</w:t>
            </w:r>
            <w:r>
              <w:rPr>
                <w:rFonts w:ascii="Times New Roman" w:hAnsi="Times New Roman" w:eastAsia="仿宋" w:cs="Times New Roman"/>
                <w:kern w:val="0"/>
                <w:sz w:val="24"/>
                <w:szCs w:val="24"/>
                <w:highlight w:val="none"/>
                <w:lang w:bidi="ar"/>
              </w:rPr>
              <w:t>按要求参加统计的年报会议和业务培训。</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10</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540" w:hRule="atLeast"/>
        </w:trPr>
        <w:tc>
          <w:tcPr>
            <w:tcW w:w="9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机制和</w:t>
            </w:r>
          </w:p>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报表质量</w:t>
            </w:r>
          </w:p>
        </w:tc>
        <w:tc>
          <w:tcPr>
            <w:tcW w:w="4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40</w:t>
            </w: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①</w:t>
            </w:r>
            <w:r>
              <w:rPr>
                <w:rFonts w:ascii="Times New Roman" w:hAnsi="Times New Roman" w:eastAsia="仿宋" w:cs="Times New Roman"/>
                <w:kern w:val="0"/>
                <w:sz w:val="24"/>
                <w:szCs w:val="24"/>
                <w:highlight w:val="none"/>
                <w:lang w:bidi="ar"/>
              </w:rPr>
              <w:t>严格执行相关制度或报表，按照制度表式、指标、标准、口径、计算方法等要求，及时报送数据。</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20</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②</w:t>
            </w:r>
            <w:r>
              <w:rPr>
                <w:rFonts w:ascii="Times New Roman" w:hAnsi="Times New Roman" w:eastAsia="仿宋" w:cs="Times New Roman"/>
                <w:kern w:val="0"/>
                <w:sz w:val="24"/>
                <w:szCs w:val="24"/>
                <w:highlight w:val="none"/>
                <w:lang w:bidi="ar"/>
              </w:rPr>
              <w:t>按照制度规定的截止上交时间前半天完成上交年度报表。</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10</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③</w:t>
            </w:r>
            <w:r>
              <w:rPr>
                <w:rFonts w:ascii="Times New Roman" w:hAnsi="Times New Roman" w:eastAsia="仿宋" w:cs="Times New Roman"/>
                <w:kern w:val="0"/>
                <w:sz w:val="24"/>
                <w:szCs w:val="24"/>
                <w:highlight w:val="none"/>
                <w:lang w:bidi="ar"/>
              </w:rPr>
              <w:t>及时接受统计部门数据查询，认真核实相关数据。</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5</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500" w:hRule="atLeast"/>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④</w:t>
            </w:r>
            <w:r>
              <w:rPr>
                <w:rFonts w:ascii="Times New Roman" w:hAnsi="Times New Roman" w:eastAsia="仿宋" w:cs="Times New Roman"/>
                <w:kern w:val="0"/>
                <w:sz w:val="24"/>
                <w:szCs w:val="24"/>
                <w:highlight w:val="none"/>
                <w:lang w:bidi="ar"/>
              </w:rPr>
              <w:t>统计资料实行档案化管理、配备档案柜（盒）。</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2</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⑤</w:t>
            </w:r>
            <w:r>
              <w:rPr>
                <w:rFonts w:ascii="Times New Roman" w:hAnsi="Times New Roman" w:eastAsia="仿宋" w:cs="Times New Roman"/>
                <w:kern w:val="0"/>
                <w:sz w:val="24"/>
                <w:szCs w:val="24"/>
                <w:highlight w:val="none"/>
                <w:lang w:bidi="ar"/>
              </w:rPr>
              <w:t>统计资料要严格按照保密制度进行保密等级管理</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3</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99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其他</w:t>
            </w:r>
          </w:p>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加分项</w:t>
            </w:r>
          </w:p>
        </w:tc>
        <w:tc>
          <w:tcPr>
            <w:tcW w:w="4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20</w:t>
            </w: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①</w:t>
            </w:r>
            <w:r>
              <w:rPr>
                <w:rFonts w:ascii="Times New Roman" w:hAnsi="Times New Roman" w:eastAsia="仿宋" w:cs="Times New Roman"/>
                <w:kern w:val="0"/>
                <w:sz w:val="24"/>
                <w:szCs w:val="24"/>
                <w:highlight w:val="none"/>
                <w:lang w:bidi="ar"/>
              </w:rPr>
              <w:t>参与政府部门开展问卷调查，并按时报送数据。</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10</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99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62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left"/>
              <w:rPr>
                <w:rFonts w:ascii="Times New Roman" w:hAnsi="Times New Roman" w:eastAsia="仿宋" w:cs="Times New Roman"/>
                <w:kern w:val="0"/>
                <w:sz w:val="24"/>
                <w:highlight w:val="none"/>
                <w:lang w:bidi="ar"/>
              </w:rPr>
            </w:pPr>
            <w:r>
              <w:rPr>
                <w:rFonts w:hint="eastAsia" w:ascii="宋体" w:hAnsi="宋体" w:eastAsia="宋体" w:cs="宋体"/>
                <w:kern w:val="0"/>
                <w:sz w:val="24"/>
                <w:szCs w:val="24"/>
                <w:highlight w:val="none"/>
                <w:lang w:bidi="ar"/>
              </w:rPr>
              <w:t>②</w:t>
            </w:r>
            <w:r>
              <w:rPr>
                <w:rFonts w:ascii="Times New Roman" w:hAnsi="Times New Roman" w:eastAsia="仿宋" w:cs="Times New Roman"/>
                <w:kern w:val="0"/>
                <w:sz w:val="24"/>
                <w:szCs w:val="24"/>
                <w:highlight w:val="none"/>
                <w:lang w:bidi="ar"/>
              </w:rPr>
              <w:t>积极配合完成政府部门的调研工作。</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10</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76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合计（100分）</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w:t>
            </w:r>
          </w:p>
        </w:tc>
        <w:tc>
          <w:tcPr>
            <w:tcW w:w="7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c>
          <w:tcPr>
            <w:tcW w:w="7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76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szCs w:val="24"/>
                <w:highlight w:val="none"/>
                <w:lang w:bidi="ar"/>
              </w:rPr>
            </w:pPr>
            <w:r>
              <w:rPr>
                <w:rFonts w:ascii="Times New Roman" w:hAnsi="Times New Roman" w:eastAsia="仿宋" w:cs="Times New Roman"/>
                <w:kern w:val="0"/>
                <w:sz w:val="24"/>
                <w:szCs w:val="24"/>
                <w:highlight w:val="none"/>
                <w:lang w:bidi="ar"/>
              </w:rPr>
              <w:t>加权得分（合计自查得分*40%+合计初审得分*60%）</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szCs w:val="24"/>
                <w:highlight w:val="none"/>
                <w:lang w:bidi="ar"/>
              </w:rPr>
            </w:pPr>
            <w:r>
              <w:rPr>
                <w:rFonts w:ascii="Times New Roman" w:hAnsi="Times New Roman" w:eastAsia="仿宋" w:cs="Times New Roman"/>
                <w:kern w:val="0"/>
                <w:sz w:val="24"/>
                <w:szCs w:val="24"/>
                <w:highlight w:val="none"/>
                <w:lang w:bidi="ar"/>
              </w:rPr>
              <w:t>-</w:t>
            </w:r>
          </w:p>
        </w:tc>
        <w:tc>
          <w:tcPr>
            <w:tcW w:w="14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r>
        <w:tblPrEx>
          <w:tblLayout w:type="fixed"/>
          <w:tblCellMar>
            <w:top w:w="0" w:type="dxa"/>
            <w:left w:w="0" w:type="dxa"/>
            <w:bottom w:w="0" w:type="dxa"/>
            <w:right w:w="0" w:type="dxa"/>
          </w:tblCellMar>
        </w:tblPrEx>
        <w:trPr>
          <w:trHeight w:val="270" w:hRule="atLeast"/>
        </w:trPr>
        <w:tc>
          <w:tcPr>
            <w:tcW w:w="76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评选结果（ABCD）</w:t>
            </w:r>
          </w:p>
        </w:tc>
        <w:tc>
          <w:tcPr>
            <w:tcW w:w="8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w:t>
            </w:r>
          </w:p>
        </w:tc>
        <w:tc>
          <w:tcPr>
            <w:tcW w:w="14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abs>
                <w:tab w:val="left" w:pos="0"/>
              </w:tabs>
              <w:autoSpaceDE w:val="0"/>
              <w:jc w:val="center"/>
              <w:rPr>
                <w:rFonts w:ascii="Times New Roman" w:hAnsi="Times New Roman" w:eastAsia="仿宋" w:cs="Times New Roman"/>
                <w:kern w:val="0"/>
                <w:sz w:val="24"/>
                <w:highlight w:val="none"/>
                <w:lang w:bidi="ar"/>
              </w:rPr>
            </w:pPr>
          </w:p>
        </w:tc>
      </w:tr>
    </w:tbl>
    <w:p>
      <w:pPr>
        <w:widowControl/>
        <w:autoSpaceDE w:val="0"/>
        <w:spacing w:line="360" w:lineRule="auto"/>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企业统计人员：         联系电话：        日期：       各园管理局（章）：</w:t>
      </w:r>
    </w:p>
    <w:p>
      <w:pPr>
        <w:widowControl/>
        <w:autoSpaceDE w:val="0"/>
        <w:rPr>
          <w:rFonts w:ascii="Times New Roman" w:hAnsi="Times New Roman" w:eastAsia="仿宋" w:cs="Times New Roman"/>
          <w:kern w:val="0"/>
          <w:sz w:val="24"/>
          <w:highlight w:val="none"/>
          <w:lang w:bidi="ar"/>
        </w:rPr>
      </w:pPr>
    </w:p>
    <w:p>
      <w:pPr>
        <w:widowControl/>
        <w:autoSpaceDE w:val="0"/>
        <w:rPr>
          <w:rFonts w:ascii="Times New Roman" w:hAnsi="Times New Roman" w:eastAsia="仿宋" w:cs="Times New Roman"/>
          <w:kern w:val="0"/>
          <w:sz w:val="24"/>
          <w:highlight w:val="none"/>
          <w:lang w:bidi="ar"/>
        </w:rPr>
      </w:pPr>
      <w:r>
        <w:rPr>
          <w:rFonts w:ascii="Times New Roman" w:hAnsi="Times New Roman" w:eastAsia="仿宋" w:cs="Times New Roman"/>
          <w:kern w:val="0"/>
          <w:sz w:val="24"/>
          <w:szCs w:val="24"/>
          <w:highlight w:val="none"/>
          <w:lang w:bidi="ar"/>
        </w:rPr>
        <w:t>备注：90分（含90分）以上为A类企业；80—89分（含80分）为B类企业；</w:t>
      </w:r>
    </w:p>
    <w:p>
      <w:pPr>
        <w:ind w:firstLine="480" w:firstLineChars="200"/>
        <w:rPr>
          <w:rFonts w:ascii="Times New Roman" w:hAnsi="Times New Roman" w:eastAsia="仿宋_GB2312" w:cs="Times New Roman"/>
          <w:sz w:val="32"/>
          <w:szCs w:val="32"/>
          <w:highlight w:val="none"/>
        </w:rPr>
      </w:pPr>
      <w:r>
        <w:rPr>
          <w:rFonts w:ascii="Times New Roman" w:hAnsi="Times New Roman" w:eastAsia="仿宋" w:cs="Times New Roman"/>
          <w:kern w:val="0"/>
          <w:sz w:val="24"/>
          <w:szCs w:val="24"/>
          <w:highlight w:val="none"/>
          <w:lang w:bidi="ar"/>
        </w:rPr>
        <w:t xml:space="preserve">  70—79分（含70分）为C类企业；60—69分（含60分）为D类企业。</w:t>
      </w:r>
    </w:p>
    <w:p>
      <w:pPr>
        <w:ind w:firstLine="640" w:firstLineChars="200"/>
        <w:rPr>
          <w:rFonts w:ascii="Times New Roman" w:hAnsi="Times New Roman" w:eastAsia="仿宋_GB2312" w:cs="Times New Roman"/>
          <w:sz w:val="32"/>
          <w:szCs w:val="32"/>
          <w:highlight w:val="none"/>
        </w:rPr>
      </w:pPr>
    </w:p>
    <w:p>
      <w:pPr>
        <w:ind w:firstLine="640" w:firstLineChars="200"/>
        <w:rPr>
          <w:rFonts w:ascii="仿宋_GB2312" w:eastAsia="仿宋_GB2312"/>
          <w:sz w:val="32"/>
          <w:szCs w:val="32"/>
          <w:highlight w:val="none"/>
        </w:rPr>
      </w:pPr>
    </w:p>
    <w:p>
      <w:pPr>
        <w:spacing w:line="580" w:lineRule="exact"/>
        <w:ind w:firstLine="640" w:firstLineChars="200"/>
        <w:rPr>
          <w:rFonts w:ascii="仿宋" w:hAnsi="仿宋" w:eastAsia="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textAlignment w:val="auto"/>
        <w:rPr>
          <w:rFonts w:hint="eastAsia" w:ascii="仿宋" w:hAnsi="仿宋" w:eastAsia="仿宋" w:cs="仿宋"/>
          <w:sz w:val="32"/>
          <w:szCs w:val="32"/>
          <w:highlight w:val="none"/>
        </w:rPr>
      </w:pPr>
    </w:p>
    <w:p>
      <w:pPr>
        <w:keepNext w:val="0"/>
        <w:keepLines w:val="0"/>
        <w:pageBreakBefore w:val="0"/>
        <w:widowControl w:val="0"/>
        <w:kinsoku/>
        <w:wordWrap/>
        <w:overflowPunct/>
        <w:topLinePunct w:val="0"/>
        <w:autoSpaceDN/>
        <w:bidi w:val="0"/>
        <w:adjustRightInd/>
        <w:snapToGrid/>
        <w:spacing w:line="560" w:lineRule="exact"/>
        <w:ind w:firstLine="640" w:firstLineChars="200"/>
        <w:textAlignment w:val="auto"/>
        <w:rPr>
          <w:rFonts w:hint="eastAsia" w:ascii="仿宋" w:hAnsi="仿宋" w:eastAsia="仿宋" w:cs="仿宋"/>
          <w:sz w:val="32"/>
          <w:szCs w:val="32"/>
          <w:highlight w:val="none"/>
        </w:rPr>
      </w:pP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both"/>
        <w:textAlignment w:val="auto"/>
        <w:outlineLvl w:val="9"/>
        <w:rPr>
          <w:rFonts w:hint="eastAsia" w:ascii="仿宋" w:hAnsi="仿宋" w:eastAsia="仿宋" w:cs="仿宋"/>
          <w:sz w:val="32"/>
          <w:szCs w:val="32"/>
          <w:highlight w:val="none"/>
          <w:lang w:val="en-US" w:eastAsia="zh-CN"/>
        </w:rPr>
      </w:pPr>
    </w:p>
    <w:p>
      <w:pPr>
        <w:keepNext w:val="0"/>
        <w:keepLines w:val="0"/>
        <w:pageBreakBefore w:val="0"/>
        <w:widowControl w:val="0"/>
        <w:kinsoku/>
        <w:wordWrap/>
        <w:overflowPunct/>
        <w:topLinePunct w:val="0"/>
        <w:autoSpaceDN/>
        <w:bidi w:val="0"/>
        <w:adjustRightInd/>
        <w:snapToGrid/>
        <w:spacing w:line="560" w:lineRule="exact"/>
        <w:ind w:firstLine="240" w:firstLineChars="100"/>
        <w:textAlignment w:val="auto"/>
        <w:rPr>
          <w:rFonts w:hint="eastAsia" w:ascii="仿宋" w:hAnsi="仿宋" w:eastAsia="仿宋" w:cs="仿宋"/>
          <w:sz w:val="32"/>
          <w:szCs w:val="32"/>
          <w:highlight w:val="none"/>
        </w:rPr>
      </w:pPr>
      <w:r>
        <w:rPr>
          <w:rFonts w:hint="eastAsia" w:ascii="仿宋" w:hAnsi="仿宋" w:eastAsia="仿宋"/>
          <w:spacing w:val="-20"/>
          <w:sz w:val="28"/>
          <w:szCs w:val="28"/>
          <w:highlight w:val="none"/>
        </w:rPr>
        <mc:AlternateContent>
          <mc:Choice Requires="wps">
            <w:drawing>
              <wp:anchor distT="0" distB="0" distL="114300" distR="114300" simplePos="0" relativeHeight="251662336" behindDoc="0" locked="0" layoutInCell="1" allowOverlap="1">
                <wp:simplePos x="0" y="0"/>
                <wp:positionH relativeFrom="column">
                  <wp:posOffset>15240</wp:posOffset>
                </wp:positionH>
                <wp:positionV relativeFrom="paragraph">
                  <wp:posOffset>33020</wp:posOffset>
                </wp:positionV>
                <wp:extent cx="5559425" cy="0"/>
                <wp:effectExtent l="0" t="0" r="0" b="0"/>
                <wp:wrapNone/>
                <wp:docPr id="3" name="直接连接符 3"/>
                <wp:cNvGraphicFramePr/>
                <a:graphic xmlns:a="http://schemas.openxmlformats.org/drawingml/2006/main">
                  <a:graphicData uri="http://schemas.microsoft.com/office/word/2010/wordprocessingShape">
                    <wps:wsp>
                      <wps:cNvCnPr/>
                      <wps:spPr>
                        <a:xfrm>
                          <a:off x="0" y="0"/>
                          <a:ext cx="5559425" cy="0"/>
                        </a:xfrm>
                        <a:prstGeom prst="line">
                          <a:avLst/>
                        </a:prstGeom>
                        <a:ln w="952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1.2pt;margin-top:2.6pt;height:0pt;width:437.75pt;z-index:251662336;mso-width-relative:page;mso-height-relative:page;" filled="f" stroked="t" coordsize="21600,21600" o:gfxdata="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gnt3kdMAAAAFAQAADwAAAAAA&#10;AAABACAAAAAiAAAAZHJzL2Rvd25yZXYueG1sUEsBAhQAFAAAAAgAh07iQKUw4vnfAQAApAMAAA4A&#10;AAAAAAAAAQAgAAAAIgEAAGRycy9lMm9Eb2MueG1sUEsFBgAAAAAGAAYAWQEAAHMFAAAAAA==&#10;">
                <v:fill on="f" focussize="0,0"/>
                <v:stroke color="#000000" joinstyle="round"/>
                <v:imagedata o:title=""/>
                <o:lock v:ext="edit" aspectratio="f"/>
              </v:line>
            </w:pict>
          </mc:Fallback>
        </mc:AlternateContent>
      </w:r>
      <w:r>
        <w:rPr>
          <w:rFonts w:hint="eastAsia" w:ascii="仿宋_GB2312" w:eastAsia="仿宋_GB2312"/>
          <w:spacing w:val="-20"/>
          <w:sz w:val="28"/>
          <w:szCs w:val="28"/>
          <w:highlight w:val="none"/>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378460</wp:posOffset>
                </wp:positionV>
                <wp:extent cx="5559425" cy="0"/>
                <wp:effectExtent l="0" t="0" r="0" b="0"/>
                <wp:wrapNone/>
                <wp:docPr id="4" name="直接连接符 4"/>
                <wp:cNvGraphicFramePr/>
                <a:graphic xmlns:a="http://schemas.openxmlformats.org/drawingml/2006/main">
                  <a:graphicData uri="http://schemas.microsoft.com/office/word/2010/wordprocessingShape">
                    <wps:wsp>
                      <wps:cNvCnPr/>
                      <wps:spPr>
                        <a:xfrm>
                          <a:off x="0" y="0"/>
                          <a:ext cx="5559425" cy="0"/>
                        </a:xfrm>
                        <a:prstGeom prst="line">
                          <a:avLst/>
                        </a:prstGeom>
                        <a:ln w="952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29.8pt;height:0pt;width:437.75pt;z-index:251663360;mso-width-relative:page;mso-height-relative:page;" filled="f" stroked="t" coordsize="21600,21600" o:gfxdata="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NmRxR9QAAAAGAQAADwAAAAAA&#10;AAABACAAAAAiAAAAZHJzL2Rvd25yZXYueG1sUEsBAhQAFAAAAAgAh07iQGqz+SLeAQAApAMAAA4A&#10;AAAAAAAAAQAgAAAAIwEAAGRycy9lMm9Eb2MueG1sUEsFBgAAAAAGAAYAWQEAAHMFAAAAAA==&#10;">
                <v:fill on="f" focussize="0,0"/>
                <v:stroke color="#000000" joinstyle="round"/>
                <v:imagedata o:title=""/>
                <o:lock v:ext="edit" aspectratio="f"/>
              </v:line>
            </w:pict>
          </mc:Fallback>
        </mc:AlternateContent>
      </w:r>
      <w:r>
        <w:rPr>
          <w:rFonts w:hint="eastAsia" w:ascii="仿宋" w:hAnsi="仿宋" w:eastAsia="仿宋"/>
          <w:spacing w:val="-20"/>
          <w:sz w:val="28"/>
          <w:szCs w:val="28"/>
          <w:highlight w:val="none"/>
        </w:rPr>
        <w:t>佛山高新技术产业开发区</w:t>
      </w:r>
      <w:r>
        <w:rPr>
          <w:rFonts w:hint="eastAsia" w:ascii="仿宋" w:hAnsi="仿宋" w:eastAsia="仿宋"/>
          <w:spacing w:val="-20"/>
          <w:sz w:val="28"/>
          <w:szCs w:val="28"/>
          <w:highlight w:val="none"/>
          <w:lang w:eastAsia="zh-CN"/>
        </w:rPr>
        <w:t>管理委员会党政</w:t>
      </w:r>
      <w:r>
        <w:rPr>
          <w:rFonts w:hint="eastAsia" w:ascii="仿宋" w:hAnsi="仿宋" w:eastAsia="仿宋"/>
          <w:spacing w:val="-20"/>
          <w:sz w:val="28"/>
          <w:szCs w:val="28"/>
          <w:highlight w:val="none"/>
        </w:rPr>
        <w:t xml:space="preserve">办公室    </w:t>
      </w:r>
      <w:r>
        <w:rPr>
          <w:rFonts w:hint="eastAsia" w:ascii="仿宋" w:hAnsi="仿宋" w:eastAsia="仿宋"/>
          <w:spacing w:val="-20"/>
          <w:sz w:val="28"/>
          <w:szCs w:val="28"/>
          <w:highlight w:val="none"/>
          <w:lang w:val="en-US" w:eastAsia="zh-CN"/>
        </w:rPr>
        <w:t xml:space="preserve">  </w:t>
      </w:r>
      <w:r>
        <w:rPr>
          <w:rFonts w:hint="eastAsia" w:ascii="仿宋" w:hAnsi="仿宋" w:eastAsia="仿宋"/>
          <w:spacing w:val="-20"/>
          <w:sz w:val="28"/>
          <w:szCs w:val="28"/>
          <w:highlight w:val="none"/>
        </w:rPr>
        <w:t xml:space="preserve"> </w:t>
      </w:r>
      <w:r>
        <w:rPr>
          <w:rFonts w:hint="eastAsia" w:ascii="仿宋" w:hAnsi="仿宋" w:eastAsia="仿宋"/>
          <w:spacing w:val="-20"/>
          <w:sz w:val="28"/>
          <w:szCs w:val="28"/>
          <w:highlight w:val="none"/>
          <w:lang w:val="en-US" w:eastAsia="zh-CN"/>
        </w:rPr>
        <w:t xml:space="preserve"> </w:t>
      </w:r>
      <w:r>
        <w:rPr>
          <w:rFonts w:hint="eastAsia" w:ascii="仿宋" w:hAnsi="仿宋" w:eastAsia="仿宋"/>
          <w:color w:val="auto"/>
          <w:spacing w:val="-17"/>
          <w:sz w:val="28"/>
          <w:szCs w:val="28"/>
          <w:highlight w:val="none"/>
        </w:rPr>
        <w:t>20</w:t>
      </w:r>
      <w:r>
        <w:rPr>
          <w:rFonts w:hint="eastAsia" w:ascii="仿宋" w:hAnsi="仿宋" w:eastAsia="仿宋"/>
          <w:color w:val="auto"/>
          <w:spacing w:val="-17"/>
          <w:sz w:val="28"/>
          <w:szCs w:val="28"/>
          <w:highlight w:val="none"/>
          <w:lang w:val="en-US" w:eastAsia="zh-CN"/>
        </w:rPr>
        <w:t>20</w:t>
      </w:r>
      <w:r>
        <w:rPr>
          <w:rFonts w:hint="eastAsia" w:ascii="仿宋" w:hAnsi="仿宋" w:eastAsia="仿宋"/>
          <w:color w:val="auto"/>
          <w:spacing w:val="-17"/>
          <w:sz w:val="28"/>
          <w:szCs w:val="28"/>
          <w:highlight w:val="none"/>
        </w:rPr>
        <w:t>年</w:t>
      </w:r>
      <w:r>
        <w:rPr>
          <w:rFonts w:hint="eastAsia" w:ascii="仿宋" w:hAnsi="仿宋" w:eastAsia="仿宋"/>
          <w:color w:val="auto"/>
          <w:spacing w:val="-17"/>
          <w:sz w:val="28"/>
          <w:szCs w:val="28"/>
          <w:highlight w:val="none"/>
          <w:lang w:val="en-US" w:eastAsia="zh-CN"/>
        </w:rPr>
        <w:t>12</w:t>
      </w:r>
      <w:r>
        <w:rPr>
          <w:rFonts w:hint="eastAsia" w:ascii="仿宋" w:hAnsi="仿宋" w:eastAsia="仿宋"/>
          <w:color w:val="auto"/>
          <w:spacing w:val="-17"/>
          <w:sz w:val="28"/>
          <w:szCs w:val="28"/>
          <w:highlight w:val="none"/>
        </w:rPr>
        <w:t>月</w:t>
      </w:r>
      <w:r>
        <w:rPr>
          <w:rFonts w:hint="eastAsia" w:ascii="仿宋" w:hAnsi="仿宋" w:eastAsia="仿宋"/>
          <w:color w:val="auto"/>
          <w:spacing w:val="-17"/>
          <w:sz w:val="28"/>
          <w:szCs w:val="28"/>
          <w:highlight w:val="none"/>
          <w:lang w:val="en-US" w:eastAsia="zh-CN"/>
        </w:rPr>
        <w:t>7</w:t>
      </w:r>
      <w:r>
        <w:rPr>
          <w:rFonts w:hint="eastAsia" w:ascii="仿宋" w:hAnsi="仿宋" w:eastAsia="仿宋"/>
          <w:color w:val="auto"/>
          <w:spacing w:val="-17"/>
          <w:sz w:val="28"/>
          <w:szCs w:val="28"/>
          <w:highlight w:val="none"/>
        </w:rPr>
        <w:t>日印发</w:t>
      </w:r>
      <w:r>
        <w:rPr>
          <w:rFonts w:hint="eastAsia" w:ascii="仿宋" w:hAnsi="仿宋" w:eastAsia="仿宋"/>
          <w:color w:val="auto"/>
          <w:sz w:val="28"/>
          <w:szCs w:val="28"/>
          <w:highlight w:val="none"/>
        </w:rPr>
        <w:t xml:space="preserve"> </w:t>
      </w:r>
      <w:r>
        <w:rPr>
          <w:rFonts w:hint="default" w:ascii="Times New Roman" w:hAnsi="Times New Roman" w:eastAsia="仿宋" w:cs="Times New Roman"/>
          <w:color w:val="auto"/>
          <w:spacing w:val="0"/>
          <w:w w:val="100"/>
          <w:sz w:val="32"/>
          <w:szCs w:val="32"/>
          <w:highlight w:val="none"/>
          <w:u w:val="none"/>
          <w:lang w:val="en-US" w:eastAsia="zh-CN"/>
        </w:rPr>
        <w:t xml:space="preserve"> </w:t>
      </w:r>
    </w:p>
    <w:p>
      <w:bookmarkStart w:id="1" w:name="_GoBack"/>
      <w:bookmarkEnd w:id="1"/>
    </w:p>
    <w:sectPr>
      <w:headerReference r:id="rId3" w:type="default"/>
      <w:footerReference r:id="rId4" w:type="default"/>
      <w:pgSz w:w="11906" w:h="16838"/>
      <w:pgMar w:top="2098" w:right="1474" w:bottom="1984" w:left="1587" w:header="851" w:footer="992" w:gutter="0"/>
      <w:pgNumType w:fmt="numberInDash"/>
      <w:cols w:space="0" w:num="1"/>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serif">
    <w:altName w:val="Segoe Print"/>
    <w:panose1 w:val="00000000000000000000"/>
    <w:charset w:val="00"/>
    <w:family w:val="auto"/>
    <w:pitch w:val="default"/>
    <w:sig w:usb0="00000000" w:usb1="00000000" w:usb2="00000000" w:usb3="00000000" w:csb0="0000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微软简标宋">
    <w:altName w:val="方正小标宋简体"/>
    <w:panose1 w:val="02030609000101010101"/>
    <w:charset w:val="86"/>
    <w:family w:val="auto"/>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451485" cy="236855"/>
              <wp:effectExtent l="0" t="0" r="0" b="0"/>
              <wp:wrapNone/>
              <wp:docPr id="1" name="文本框 1"/>
              <wp:cNvGraphicFramePr/>
              <a:graphic xmlns:a="http://schemas.openxmlformats.org/drawingml/2006/main">
                <a:graphicData uri="http://schemas.microsoft.com/office/word/2010/wordprocessingShape">
                  <wps:wsp>
                    <wps:cNvSpPr txBox="1"/>
                    <wps:spPr>
                      <a:xfrm>
                        <a:off x="0" y="0"/>
                        <a:ext cx="451485" cy="23685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asciiTheme="minorEastAsia" w:hAnsiTheme="minorEastAsia" w:cstheme="minorEastAsia"/>
                              <w:sz w:val="28"/>
                              <w:szCs w:val="28"/>
                            </w:rPr>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- 9 -</w:t>
                          </w:r>
                          <w:r>
                            <w:rPr>
                              <w:rFonts w:hint="eastAsia" w:asciiTheme="minorEastAsia" w:hAnsi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8.65pt;width:35.55pt;mso-position-horizontal:outside;mso-position-horizontal-relative:margin;mso-wrap-style:none;z-index:251658240;mso-width-relative:page;mso-height-relative:page;" filled="f" stroked="f" coordsize="21600,21600" o:gfxdata="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CYx7H/SAAAAAwEAAA8AAAAAAAAAAQAg&#10;AAAAIgAAAGRycy9kb3ducmV2LnhtbFBLAQIUABQAAAAIAIdO4kAJXTF8FAIAAAUEAAAOAAAAAAAA&#10;AAEAIAAAACEBAABkcnMvZTJvRG9jLnhtbFBLBQYAAAAABgAGAFkBAACnBQAAAAA=&#10;">
              <v:fill on="f" focussize="0,0"/>
              <v:stroke on="f" weight="0.5pt"/>
              <v:imagedata o:title=""/>
              <o:lock v:ext="edit" aspectratio="f"/>
              <v:textbox inset="0mm,0mm,0mm,0mm" style="mso-fit-shape-to-text:t;">
                <w:txbxContent>
                  <w:p>
                    <w:pPr>
                      <w:pStyle w:val="3"/>
                      <w:rPr>
                        <w:rFonts w:asciiTheme="minorEastAsia" w:hAnsiTheme="minorEastAsia" w:cstheme="minorEastAsia"/>
                        <w:sz w:val="28"/>
                        <w:szCs w:val="28"/>
                      </w:rPr>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asciiTheme="minorEastAsia" w:hAnsiTheme="minorEastAsia" w:cstheme="minorEastAsia"/>
                        <w:sz w:val="28"/>
                        <w:szCs w:val="28"/>
                      </w:rPr>
                      <w:t>- 9 -</w:t>
                    </w:r>
                    <w:r>
                      <w:rPr>
                        <w:rFonts w:hint="eastAsia" w:asciiTheme="minorEastAsia" w:hAnsiTheme="minorEastAsia" w:cstheme="minorEastAsia"/>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DC6A5B"/>
    <w:rsid w:val="20DC6A5B"/>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customStyle="1" w:styleId="2">
    <w:name w:val="_Style 5"/>
    <w:qFormat/>
    <w:uiPriority w:val="0"/>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狮山镇人民政府</Company>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2020-12-08T08:50:00Z</dcterms:created>
  <dc:creator>张锦仪（总工会网管员）</dc:creator>
  <cp:lastModifiedBy>张锦仪（总工会网管员）</cp:lastModifiedBy>
  <dcterms:modified xsi:type="dcterms:W3CDTF">2020-12-08T08:51:07Z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