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rFonts w:hint="default" w:ascii="仿宋" w:hAnsi="仿宋" w:eastAsia="仿宋" w:cs="仿宋"/>
          <w:spacing w:val="8"/>
          <w:kern w:val="2"/>
          <w:sz w:val="28"/>
          <w:szCs w:val="28"/>
          <w:shd w:val="clear" w:color="auto" w:fill="FFFFFF"/>
          <w:lang w:val="en-US" w:eastAsia="zh-CN" w:bidi="ar-SA"/>
        </w:rPr>
      </w:pPr>
      <w:bookmarkStart w:id="0" w:name="_GoBack"/>
      <w:r>
        <w:rPr>
          <w:rFonts w:hint="eastAsia" w:ascii="仿宋" w:hAnsi="仿宋" w:eastAsia="仿宋" w:cs="仿宋"/>
          <w:spacing w:val="8"/>
          <w:kern w:val="2"/>
          <w:sz w:val="28"/>
          <w:szCs w:val="28"/>
          <w:shd w:val="clear" w:color="auto" w:fill="FFFFFF"/>
          <w:lang w:val="en-US" w:eastAsia="zh-CN" w:bidi="ar-SA"/>
        </w:rPr>
        <w:t>附件2：专题展介绍</w:t>
      </w:r>
      <w:bookmarkEnd w:id="0"/>
      <w:r>
        <w:rPr>
          <w:rFonts w:hint="eastAsia" w:ascii="仿宋" w:hAnsi="仿宋" w:eastAsia="仿宋" w:cs="仿宋"/>
          <w:spacing w:val="8"/>
          <w:kern w:val="2"/>
          <w:sz w:val="28"/>
          <w:szCs w:val="28"/>
          <w:shd w:val="clear" w:color="auto" w:fill="FFFFFF"/>
          <w:lang w:val="en-US" w:eastAsia="zh-CN" w:bidi="ar-SA"/>
        </w:rPr>
        <w:tab/>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本次专题展汇聚100多家优秀工业互联网服务商，以最前沿的工业互联网技术勾勒轮廓，以成效显著的应用场景和实践案例涂抹色彩，在二十二万平方米的大湾区工业博览会上绘制一万平方米的产业数字化转型升级蓝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展览重点展示四大主题：</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425" w:leftChars="0" w:right="0" w:hanging="425" w:firstLineChars="0"/>
        <w:jc w:val="left"/>
        <w:textAlignment w:val="auto"/>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产业集群数字化转型展</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425" w:leftChars="0" w:right="0" w:hanging="425" w:firstLineChars="0"/>
        <w:jc w:val="left"/>
        <w:textAlignment w:val="auto"/>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5G+工业互联网应用场景展</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425" w:leftChars="0" w:right="0" w:hanging="425" w:firstLineChars="0"/>
        <w:jc w:val="left"/>
        <w:textAlignment w:val="auto"/>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工业互联网应用方案展</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425" w:leftChars="0" w:right="0" w:hanging="425" w:firstLineChars="0"/>
        <w:jc w:val="left"/>
        <w:textAlignment w:val="auto"/>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工业互联网示范基地展 (宝安区)</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Chars="0" w:right="0" w:rightChars="0"/>
        <w:jc w:val="left"/>
        <w:textAlignment w:val="auto"/>
        <w:rPr>
          <w:rFonts w:hint="eastAsia" w:ascii="仿宋" w:hAnsi="仿宋" w:eastAsia="仿宋" w:cs="仿宋"/>
          <w:spacing w:val="8"/>
          <w:kern w:val="2"/>
          <w:sz w:val="28"/>
          <w:szCs w:val="28"/>
          <w:shd w:val="clear" w:color="auto" w:fill="FFFFFF"/>
          <w:lang w:val="en-US" w:eastAsia="zh-CN" w:bidi="ar-SA"/>
        </w:rPr>
      </w:pPr>
    </w:p>
    <w:p>
      <w:pPr>
        <w:pStyle w:val="2"/>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425" w:leftChars="0" w:right="0" w:hanging="425" w:firstLineChars="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产业集群数字化转型展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改革开放以来，广东培育了 “世界工厂”规模基础和供应链集群优势，面向未来数字化“新变革”，广东省先试先行，探索工业互联网推动产业链整体数字化转型路径。本次展览将展示12个以上不同产业集群的数字化转型升级方案与案例。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亮点预告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基于数字化的厨卫智能工厂如何实现可信质量追溯；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线路板产业集群如何基于标识实现智能生产以及创新集群管理模式；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小家电产业集群如何打造透明工厂以及实现智能运营；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五金产业链如何实现互联互通并重塑产业价值；</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智慧模具平台如何提供全场景落地应用；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在线制造平台如何打造五金塑胶产业“云工厂”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p>
    <w:p>
      <w:pPr>
        <w:pStyle w:val="2"/>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425" w:leftChars="0" w:right="0" w:hanging="425" w:firstLineChars="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5G+工业互联网应用场景展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 5G作为新一代信息通信技术，具有高速率、低时延、海量连接等优势特性。5G+工业互联网融合发展产生的叠加倍增效应，将成为助推制造业数字化、网络化、智能化转型的强劲支撑。本次展览将展示5G赋能各行各业、大中小不同规模企业的“杀手级应用”，刷新您对5G的期待与想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亮点预告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5G+无人生产线三化融智能工厂；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5G云边云网一体化智能制衣工厂；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5G+电力智能化无人巡检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国内首例独立5GC核心网商用智慧钢厂；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5G+电子信息产业集群全业务场景应用示范；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融合5G云大物智安助力中小企业一站式升级的云平台；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5G+MEC的工业场景智能云产线；</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基于5G+工业互联网平台的数字孪生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w:t>
      </w:r>
    </w:p>
    <w:p>
      <w:pPr>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br w:type="page"/>
      </w:r>
    </w:p>
    <w:p>
      <w:pPr>
        <w:pStyle w:val="2"/>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425" w:leftChars="0" w:right="0" w:hanging="425" w:firstLineChars="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工业互联网应用方案展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降本提质增效是广大中小工业企业的关键目标，本展区针对工业企业关于“订单” “交期” “成本”和“质量” 等关键痛点，细化应用场景，展示典型解决方案与优秀案例。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亮点预告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如何为制造企业快速改善供应链的管理效率；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如何用一部手机，一个二维码，全面实现生产数字化；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如何实现工厂车间远程控制与点检，智能化节能管理，无人值守；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如何为小企业快速构建智能化物流管理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p>
    <w:p>
      <w:pPr>
        <w:pStyle w:val="2"/>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425" w:leftChars="0" w:right="0" w:hanging="425" w:firstLineChars="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工业互联网示范基地展 (宝安区)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2020年3月，宝安区入选第九批国家新型工业化产业示范基地，是全省唯一的工业互联网专项示范基地。宝安区全力打造粤港澳大湾区和深圳先行示范区工业互联网核心节点，为全国工业互联网发展探索一条可复制、可推广、可持续的实施路径。本次展览将展示宝安区各项工业互联网发展进程与阶段性成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亮点预告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垂直行业工业互联网平台；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工业互联网标识解析整体建设方案；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基于国密算法的安全服务能力；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供应链协同管理及供应链金融平台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eastAsia" w:ascii="仿宋" w:hAnsi="仿宋" w:eastAsia="仿宋" w:cs="仿宋"/>
          <w:spacing w:val="8"/>
          <w:kern w:val="2"/>
          <w:sz w:val="28"/>
          <w:szCs w:val="28"/>
          <w:shd w:val="clear" w:color="auto" w:fill="FFFFFF"/>
          <w:lang w:val="en-US" w:eastAsia="zh-CN" w:bidi="ar-SA"/>
        </w:rPr>
      </w:pPr>
      <w:r>
        <w:rPr>
          <w:rFonts w:hint="eastAsia" w:ascii="仿宋" w:hAnsi="仿宋" w:eastAsia="仿宋" w:cs="仿宋"/>
          <w:spacing w:val="8"/>
          <w:kern w:val="2"/>
          <w:sz w:val="28"/>
          <w:szCs w:val="28"/>
          <w:shd w:val="clear" w:color="auto" w:fill="FFFFFF"/>
          <w:lang w:val="en-US" w:eastAsia="zh-CN" w:bidi="ar-SA"/>
        </w:rPr>
        <w:t>……</w:t>
      </w:r>
    </w:p>
    <w:p/>
    <w:sectPr>
      <w:pgSz w:w="11906" w:h="16838"/>
      <w:pgMar w:top="2098" w:right="1587" w:bottom="2098"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等线">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91C83B"/>
    <w:multiLevelType w:val="singleLevel"/>
    <w:tmpl w:val="2391C83B"/>
    <w:lvl w:ilvl="0" w:tentative="0">
      <w:start w:val="1"/>
      <w:numFmt w:val="decimal"/>
      <w:lvlText w:val="%1)"/>
      <w:lvlJc w:val="left"/>
      <w:pPr>
        <w:ind w:left="425" w:hanging="425"/>
      </w:pPr>
      <w:rPr>
        <w:rFonts w:hint="default"/>
      </w:rPr>
    </w:lvl>
  </w:abstractNum>
  <w:abstractNum w:abstractNumId="1">
    <w:nsid w:val="7CB8A8FE"/>
    <w:multiLevelType w:val="singleLevel"/>
    <w:tmpl w:val="7CB8A8FE"/>
    <w:lvl w:ilvl="0" w:tentative="0">
      <w:start w:val="1"/>
      <w:numFmt w:val="decimal"/>
      <w:lvlText w:val="%1)"/>
      <w:lvlJc w:val="left"/>
      <w:pPr>
        <w:ind w:left="425" w:hanging="425"/>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ED71C5"/>
    <w:rsid w:val="62ED71C5"/>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南海高新技术产业开发区管委会</Company>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2020-11-11T03:25:00Z</dcterms:created>
  <dc:creator>Administrator</dc:creator>
  <cp:lastModifiedBy>Administrator</cp:lastModifiedBy>
  <dcterms:modified xsi:type="dcterms:W3CDTF">2020-11-11T03:25:27Z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