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关于举办互联网行业高企认定政策解读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及申报技巧的活动报名回执</w:t>
      </w:r>
    </w:p>
    <w:p/>
    <w:tbl>
      <w:tblPr>
        <w:tblStyle w:val="6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cs="仿宋"/>
          <w:sz w:val="28"/>
          <w:szCs w:val="28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（周四）下午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18</w:t>
      </w:r>
      <w:r>
        <w:rPr>
          <w:rFonts w:hint="eastAsia" w:ascii="仿宋" w:hAnsi="仿宋" w:eastAsia="仿宋" w:cs="仿宋"/>
          <w:sz w:val="28"/>
          <w:szCs w:val="28"/>
        </w:rPr>
        <w:t>:00前登录协会官方网站www.nhhtia.com浏览活动通知并点击“马上报名”填写参加人员信息或发送《报名回执》至协会秘书处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景钊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7A6289"/>
    <w:rsid w:val="187A6289"/>
    <w:rsid w:val="791C55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2020-05-07T04:28:00Z</dcterms:created>
  <dc:creator>Administrator</dc:creator>
  <cp:lastModifiedBy>Administrator</cp:lastModifiedBy>
  <dcterms:modified xsi:type="dcterms:W3CDTF">2020-05-07T04:30:03Z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