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仿宋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2019年佛山高新区独角兽（潜在、种子）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企业申报流程图</w:t>
      </w:r>
      <w:bookmarkEnd w:id="0"/>
    </w:p>
    <w:p>
      <w:pPr>
        <w:jc w:val="center"/>
      </w:pPr>
      <w:r>
        <w:drawing>
          <wp:inline distT="0" distB="0" distL="0" distR="0">
            <wp:extent cx="3167380" cy="6188710"/>
            <wp:effectExtent l="0" t="0" r="13970" b="254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167380" cy="6188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BB7209"/>
    <w:rsid w:val="42BB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qFormat/>
    <w:uiPriority w:val="99"/>
    <w:pPr>
      <w:widowControl w:val="0"/>
      <w:ind w:firstLine="200" w:firstLineChars="200"/>
      <w:jc w:val="both"/>
    </w:pPr>
    <w:rPr>
      <w:rFonts w:ascii="Times New Roman" w:hAnsi="Times New Roman" w:eastAsia="宋体" w:cs="Times New Roman"/>
      <w:kern w:val="2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2019-11-21T05:33:00Z</dcterms:created>
  <dc:creator>admin</dc:creator>
  <cp:lastModifiedBy>admin</cp:lastModifiedBy>
  <dcterms:modified xsi:type="dcterms:W3CDTF">2019-11-21T05:34:04Z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