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方正小标宋简体" w:hAnsi="华文中宋" w:eastAsia="方正小标宋简体"/>
          <w:bCs/>
          <w:snapToGrid w:val="0"/>
          <w:color w:val="000000"/>
          <w:spacing w:val="0"/>
          <w:kern w:val="2"/>
          <w:sz w:val="44"/>
          <w:szCs w:val="44"/>
          <w:lang w:eastAsia="zh-CN"/>
        </w:rPr>
      </w:pPr>
      <w:r>
        <w:rPr>
          <w:rFonts w:hint="eastAsia" w:ascii="方正小标宋简体" w:hAnsi="华文中宋" w:eastAsia="方正小标宋简体"/>
          <w:bCs/>
          <w:snapToGrid w:val="0"/>
          <w:color w:val="000000"/>
          <w:spacing w:val="0"/>
          <w:kern w:val="2"/>
          <w:sz w:val="44"/>
          <w:szCs w:val="44"/>
          <w:lang w:eastAsia="zh-CN"/>
        </w:rPr>
        <w:t>《佛山市南海区环境保护扶持奖励办法》</w:t>
      </w:r>
    </w:p>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lang w:eastAsia="zh-CN"/>
        </w:rPr>
      </w:pPr>
      <w:r>
        <w:rPr>
          <w:rFonts w:hint="eastAsia" w:ascii="方正小标宋简体" w:hAnsi="华文中宋" w:eastAsia="方正小标宋简体"/>
          <w:bCs/>
          <w:snapToGrid w:val="0"/>
          <w:color w:val="000000"/>
          <w:spacing w:val="0"/>
          <w:kern w:val="2"/>
          <w:sz w:val="44"/>
          <w:szCs w:val="44"/>
          <w:lang w:eastAsia="zh-CN"/>
        </w:rPr>
        <w:t>政策解读</w:t>
      </w:r>
    </w:p>
    <w:p>
      <w:pPr>
        <w:keepNext w:val="0"/>
        <w:keepLines w:val="0"/>
        <w:pageBreakBefore w:val="0"/>
        <w:widowControl w:val="0"/>
        <w:kinsoku/>
        <w:wordWrap/>
        <w:overflowPunct w:val="0"/>
        <w:topLinePunct w:val="0"/>
        <w:autoSpaceDE/>
        <w:autoSpaceDN/>
        <w:bidi w:val="0"/>
        <w:adjustRightInd/>
        <w:snapToGrid/>
        <w:spacing w:line="240" w:lineRule="auto"/>
        <w:ind w:right="0" w:rightChars="0"/>
        <w:jc w:val="both"/>
        <w:textAlignment w:val="auto"/>
        <w:outlineLvl w:val="9"/>
        <w:rPr>
          <w:rFonts w:hint="eastAsia" w:ascii="仿宋" w:hAnsi="仿宋" w:eastAsia="仿宋" w:cs="仿宋"/>
          <w:snapToGrid w:val="0"/>
          <w:color w:val="000000"/>
          <w:spacing w:val="0"/>
          <w:kern w:val="2"/>
          <w:sz w:val="32"/>
          <w:szCs w:val="32"/>
        </w:rPr>
      </w:pPr>
      <w:bookmarkStart w:id="0" w:name="_GoBack"/>
      <w:bookmarkEnd w:id="0"/>
    </w:p>
    <w:p>
      <w:pPr>
        <w:keepNext w:val="0"/>
        <w:keepLines w:val="0"/>
        <w:pageBreakBefore w:val="0"/>
        <w:widowControl w:val="0"/>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snapToGrid w:val="0"/>
          <w:color w:val="auto"/>
          <w:spacing w:val="0"/>
          <w:kern w:val="2"/>
          <w:lang w:eastAsia="zh-CN"/>
        </w:rPr>
      </w:pPr>
      <w:r>
        <w:rPr>
          <w:rFonts w:hint="eastAsia" w:ascii="仿宋" w:hAnsi="仿宋" w:eastAsia="仿宋" w:cs="仿宋"/>
          <w:snapToGrid w:val="0"/>
          <w:color w:val="auto"/>
          <w:spacing w:val="0"/>
          <w:kern w:val="2"/>
          <w:sz w:val="32"/>
          <w:szCs w:val="32"/>
        </w:rPr>
        <w:t>《</w:t>
      </w:r>
      <w:r>
        <w:rPr>
          <w:rFonts w:hint="eastAsia" w:ascii="仿宋" w:hAnsi="仿宋" w:eastAsia="仿宋" w:cs="仿宋"/>
          <w:snapToGrid w:val="0"/>
          <w:color w:val="auto"/>
          <w:spacing w:val="0"/>
          <w:kern w:val="2"/>
          <w:sz w:val="32"/>
          <w:szCs w:val="32"/>
          <w:lang w:eastAsia="zh-CN"/>
        </w:rPr>
        <w:t>佛山市南海区环境保护扶持奖励办法</w:t>
      </w:r>
      <w:r>
        <w:rPr>
          <w:rFonts w:hint="eastAsia" w:ascii="仿宋" w:hAnsi="仿宋" w:eastAsia="仿宋" w:cs="仿宋"/>
          <w:snapToGrid w:val="0"/>
          <w:color w:val="auto"/>
          <w:spacing w:val="0"/>
          <w:kern w:val="2"/>
          <w:sz w:val="32"/>
          <w:szCs w:val="32"/>
        </w:rPr>
        <w:t>》</w:t>
      </w:r>
      <w:r>
        <w:rPr>
          <w:rFonts w:hint="eastAsia" w:ascii="仿宋" w:hAnsi="仿宋" w:eastAsia="仿宋"/>
          <w:snapToGrid w:val="0"/>
          <w:color w:val="auto"/>
          <w:spacing w:val="0"/>
          <w:kern w:val="2"/>
        </w:rPr>
        <w:t>（</w:t>
      </w:r>
      <w:r>
        <w:rPr>
          <w:rFonts w:hint="eastAsia" w:ascii="仿宋" w:hAnsi="仿宋" w:eastAsia="仿宋"/>
          <w:snapToGrid w:val="0"/>
          <w:color w:val="auto"/>
          <w:spacing w:val="0"/>
          <w:kern w:val="2"/>
          <w:lang w:eastAsia="zh-CN"/>
        </w:rPr>
        <w:t>南府办</w:t>
      </w:r>
      <w:r>
        <w:rPr>
          <w:rFonts w:hint="eastAsia" w:ascii="仿宋" w:hAnsi="仿宋" w:eastAsia="仿宋"/>
          <w:snapToGrid w:val="0"/>
          <w:color w:val="auto"/>
          <w:spacing w:val="0"/>
          <w:kern w:val="2"/>
        </w:rPr>
        <w:t>〔201</w:t>
      </w:r>
      <w:r>
        <w:rPr>
          <w:rFonts w:hint="eastAsia" w:ascii="仿宋" w:hAnsi="仿宋" w:eastAsia="仿宋"/>
          <w:snapToGrid w:val="0"/>
          <w:color w:val="auto"/>
          <w:spacing w:val="0"/>
          <w:kern w:val="2"/>
          <w:lang w:val="en-US" w:eastAsia="zh-CN"/>
        </w:rPr>
        <w:t>8</w:t>
      </w:r>
      <w:r>
        <w:rPr>
          <w:rFonts w:hint="eastAsia" w:ascii="仿宋" w:hAnsi="仿宋" w:eastAsia="仿宋"/>
          <w:snapToGrid w:val="0"/>
          <w:color w:val="auto"/>
          <w:spacing w:val="0"/>
          <w:kern w:val="2"/>
        </w:rPr>
        <w:t>〕</w:t>
      </w:r>
      <w:r>
        <w:rPr>
          <w:rFonts w:hint="eastAsia" w:ascii="仿宋" w:hAnsi="仿宋" w:eastAsia="仿宋"/>
          <w:snapToGrid w:val="0"/>
          <w:color w:val="auto"/>
          <w:spacing w:val="0"/>
          <w:kern w:val="2"/>
          <w:lang w:val="en-US" w:eastAsia="zh-CN"/>
        </w:rPr>
        <w:t>34</w:t>
      </w:r>
      <w:r>
        <w:rPr>
          <w:rFonts w:hint="eastAsia" w:ascii="仿宋" w:hAnsi="仿宋" w:eastAsia="仿宋"/>
          <w:snapToGrid w:val="0"/>
          <w:color w:val="auto"/>
          <w:spacing w:val="0"/>
          <w:kern w:val="2"/>
        </w:rPr>
        <w:t>号，以下简称《</w:t>
      </w:r>
      <w:r>
        <w:rPr>
          <w:rFonts w:hint="eastAsia" w:ascii="仿宋" w:hAnsi="仿宋" w:eastAsia="仿宋"/>
          <w:snapToGrid w:val="0"/>
          <w:color w:val="auto"/>
          <w:spacing w:val="0"/>
          <w:kern w:val="2"/>
          <w:lang w:eastAsia="zh-CN"/>
        </w:rPr>
        <w:t>办法</w:t>
      </w:r>
      <w:r>
        <w:rPr>
          <w:rFonts w:hint="eastAsia" w:ascii="仿宋" w:hAnsi="仿宋" w:eastAsia="仿宋"/>
          <w:snapToGrid w:val="0"/>
          <w:color w:val="auto"/>
          <w:spacing w:val="0"/>
          <w:kern w:val="2"/>
        </w:rPr>
        <w:t>》）明确了</w:t>
      </w:r>
      <w:r>
        <w:rPr>
          <w:rFonts w:hint="eastAsia" w:ascii="仿宋" w:hAnsi="仿宋" w:eastAsia="仿宋"/>
          <w:snapToGrid w:val="0"/>
          <w:color w:val="auto"/>
          <w:spacing w:val="0"/>
          <w:kern w:val="2"/>
          <w:lang w:eastAsia="zh-CN"/>
        </w:rPr>
        <w:t>南海区对环境保护扶持和奖励的范围和原则，以及申报程序和材料</w:t>
      </w:r>
      <w:r>
        <w:rPr>
          <w:rFonts w:hint="eastAsia" w:ascii="仿宋" w:hAnsi="仿宋" w:eastAsia="仿宋"/>
          <w:snapToGrid w:val="0"/>
          <w:color w:val="auto"/>
          <w:spacing w:val="0"/>
          <w:kern w:val="2"/>
        </w:rPr>
        <w:t>。为</w:t>
      </w:r>
      <w:r>
        <w:rPr>
          <w:rFonts w:hint="eastAsia" w:ascii="仿宋" w:hAnsi="仿宋" w:eastAsia="仿宋"/>
          <w:snapToGrid w:val="0"/>
          <w:color w:val="auto"/>
          <w:spacing w:val="0"/>
          <w:kern w:val="2"/>
          <w:lang w:eastAsia="zh-CN"/>
        </w:rPr>
        <w:t>方便企业和公众</w:t>
      </w:r>
      <w:r>
        <w:rPr>
          <w:rFonts w:hint="eastAsia" w:ascii="仿宋" w:hAnsi="仿宋" w:eastAsia="仿宋"/>
          <w:snapToGrid w:val="0"/>
          <w:color w:val="auto"/>
          <w:spacing w:val="0"/>
          <w:kern w:val="2"/>
        </w:rPr>
        <w:t>更好地理解</w:t>
      </w:r>
      <w:r>
        <w:rPr>
          <w:rFonts w:hint="eastAsia" w:ascii="仿宋" w:hAnsi="仿宋" w:eastAsia="仿宋"/>
          <w:snapToGrid w:val="0"/>
          <w:color w:val="auto"/>
          <w:spacing w:val="0"/>
          <w:kern w:val="2"/>
          <w:lang w:eastAsia="zh-CN"/>
        </w:rPr>
        <w:t>本《办法》</w:t>
      </w:r>
      <w:r>
        <w:rPr>
          <w:rFonts w:hint="eastAsia" w:ascii="仿宋" w:hAnsi="仿宋" w:eastAsia="仿宋"/>
          <w:snapToGrid w:val="0"/>
          <w:color w:val="auto"/>
          <w:spacing w:val="0"/>
          <w:kern w:val="2"/>
        </w:rPr>
        <w:t>，现解读如下：</w:t>
      </w:r>
    </w:p>
    <w:p>
      <w:pPr>
        <w:keepNext w:val="0"/>
        <w:keepLines w:val="0"/>
        <w:pageBreakBefore w:val="0"/>
        <w:widowControl w:val="0"/>
        <w:numPr>
          <w:ilvl w:val="0"/>
          <w:numId w:val="0"/>
        </w:numP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黑体" w:hAnsi="黑体" w:eastAsia="黑体" w:cs="黑体"/>
          <w:bCs/>
          <w:snapToGrid w:val="0"/>
          <w:color w:val="auto"/>
          <w:spacing w:val="0"/>
          <w:kern w:val="2"/>
          <w:sz w:val="32"/>
          <w:szCs w:val="32"/>
          <w:lang w:eastAsia="zh-CN"/>
        </w:rPr>
      </w:pPr>
      <w:r>
        <w:rPr>
          <w:rFonts w:hint="eastAsia" w:ascii="黑体" w:hAnsi="黑体" w:eastAsia="黑体" w:cs="黑体"/>
          <w:bCs/>
          <w:snapToGrid w:val="0"/>
          <w:color w:val="auto"/>
          <w:spacing w:val="0"/>
          <w:kern w:val="2"/>
          <w:sz w:val="32"/>
          <w:szCs w:val="32"/>
          <w:lang w:eastAsia="zh-CN"/>
        </w:rPr>
        <w:t>一、制定背景</w:t>
      </w:r>
    </w:p>
    <w:p>
      <w:pPr>
        <w:keepNext w:val="0"/>
        <w:keepLines w:val="0"/>
        <w:pageBreakBefore w:val="0"/>
        <w:widowControl w:val="0"/>
        <w:numPr>
          <w:ilvl w:val="0"/>
          <w:numId w:val="0"/>
        </w:numP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cs="仿宋_GB2312"/>
          <w:snapToGrid w:val="0"/>
          <w:color w:val="auto"/>
          <w:kern w:val="2"/>
          <w:lang w:eastAsia="zh-CN"/>
        </w:rPr>
      </w:pPr>
      <w:r>
        <w:rPr>
          <w:rFonts w:hint="eastAsia" w:ascii="仿宋" w:hAnsi="仿宋" w:eastAsia="仿宋" w:cs="仿宋_GB2312"/>
          <w:snapToGrid w:val="0"/>
          <w:color w:val="auto"/>
          <w:kern w:val="2"/>
          <w:lang w:eastAsia="zh-CN"/>
        </w:rPr>
        <w:t>为进一步落实党中央对生态文明建设的总体要求，加快推动形成绿色发展方式，着力解决突出环境问题，有效提升企业环境治理水平，鼓励单位、组织或个人主动参与环境治理，实现环境质量持续改善，南海区政府根据实际情况，特制定本《办法》，为企业提升环境治理水平、促进污染减排、提升环保管理水平等方面提供扶持和奖励。</w:t>
      </w:r>
    </w:p>
    <w:p>
      <w:pPr>
        <w:keepNext w:val="0"/>
        <w:keepLines w:val="0"/>
        <w:pageBreakBefore w:val="0"/>
        <w:widowControl w:val="0"/>
        <w:numPr>
          <w:ilvl w:val="0"/>
          <w:numId w:val="0"/>
        </w:numP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黑体" w:hAnsi="黑体" w:eastAsia="黑体" w:cs="黑体"/>
          <w:bCs/>
          <w:snapToGrid w:val="0"/>
          <w:color w:val="auto"/>
          <w:spacing w:val="0"/>
          <w:kern w:val="2"/>
          <w:sz w:val="32"/>
          <w:szCs w:val="32"/>
          <w:lang w:eastAsia="zh-CN"/>
        </w:rPr>
      </w:pPr>
      <w:r>
        <w:rPr>
          <w:rFonts w:hint="eastAsia" w:ascii="黑体" w:hAnsi="黑体" w:eastAsia="黑体" w:cs="黑体"/>
          <w:bCs/>
          <w:snapToGrid w:val="0"/>
          <w:color w:val="auto"/>
          <w:spacing w:val="0"/>
          <w:kern w:val="2"/>
          <w:sz w:val="32"/>
          <w:szCs w:val="32"/>
          <w:lang w:eastAsia="zh-CN"/>
        </w:rPr>
        <w:t>二、奖励金额</w:t>
      </w:r>
    </w:p>
    <w:p>
      <w:pPr>
        <w:pStyle w:val="13"/>
        <w:keepNext w:val="0"/>
        <w:keepLines w:val="0"/>
        <w:pageBreakBefore w:val="0"/>
        <w:widowControl w:val="0"/>
        <w:tabs>
          <w:tab w:val="left" w:pos="6930"/>
        </w:tabs>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cs="仿宋_GB2312"/>
          <w:snapToGrid w:val="0"/>
          <w:color w:val="auto"/>
          <w:kern w:val="2"/>
          <w:lang w:eastAsia="zh-CN"/>
        </w:rPr>
      </w:pPr>
      <w:r>
        <w:rPr>
          <w:rFonts w:hint="eastAsia" w:ascii="仿宋" w:hAnsi="仿宋" w:eastAsia="仿宋" w:cs="仿宋_GB2312"/>
          <w:snapToGrid w:val="0"/>
          <w:color w:val="auto"/>
          <w:kern w:val="2"/>
          <w:lang w:val="en-US" w:eastAsia="zh-CN"/>
        </w:rPr>
        <w:t>2019年至2023年，</w:t>
      </w:r>
      <w:r>
        <w:rPr>
          <w:rFonts w:hint="eastAsia" w:ascii="仿宋" w:hAnsi="仿宋" w:eastAsia="仿宋" w:cs="仿宋_GB2312"/>
          <w:snapToGrid w:val="0"/>
          <w:color w:val="auto"/>
          <w:kern w:val="2"/>
          <w:lang w:eastAsia="zh-CN"/>
        </w:rPr>
        <w:t>南海</w:t>
      </w:r>
      <w:r>
        <w:rPr>
          <w:rFonts w:hint="eastAsia" w:ascii="仿宋" w:hAnsi="仿宋" w:eastAsia="仿宋" w:cs="仿宋_GB2312"/>
          <w:snapToGrid w:val="0"/>
          <w:color w:val="auto"/>
          <w:kern w:val="2"/>
        </w:rPr>
        <w:t>区政府设立</w:t>
      </w:r>
      <w:r>
        <w:rPr>
          <w:rFonts w:hint="eastAsia" w:ascii="仿宋" w:hAnsi="仿宋" w:eastAsia="仿宋" w:cs="仿宋_GB2312"/>
          <w:snapToGrid w:val="0"/>
          <w:color w:val="auto"/>
          <w:kern w:val="2"/>
          <w:lang w:eastAsia="zh-CN"/>
        </w:rPr>
        <w:t>环境保护扶持奖励</w:t>
      </w:r>
      <w:r>
        <w:rPr>
          <w:rFonts w:hint="eastAsia" w:ascii="仿宋" w:hAnsi="仿宋" w:eastAsia="仿宋" w:cs="仿宋_GB2312"/>
          <w:snapToGrid w:val="0"/>
          <w:color w:val="auto"/>
          <w:kern w:val="2"/>
        </w:rPr>
        <w:t>专项资金，</w:t>
      </w:r>
      <w:r>
        <w:rPr>
          <w:rFonts w:hint="eastAsia" w:ascii="仿宋" w:hAnsi="仿宋" w:eastAsia="仿宋" w:cs="仿宋_GB2312"/>
          <w:snapToGrid w:val="0"/>
          <w:color w:val="auto"/>
          <w:kern w:val="2"/>
          <w:lang w:eastAsia="zh-CN"/>
        </w:rPr>
        <w:t>每年安排预算</w:t>
      </w:r>
      <w:r>
        <w:rPr>
          <w:rFonts w:hint="eastAsia" w:ascii="仿宋" w:hAnsi="仿宋" w:eastAsia="仿宋" w:cs="仿宋_GB2312"/>
          <w:snapToGrid w:val="0"/>
          <w:color w:val="auto"/>
          <w:kern w:val="2"/>
          <w:lang w:val="en-US" w:eastAsia="zh-CN"/>
        </w:rPr>
        <w:t>6000万</w:t>
      </w:r>
      <w:r>
        <w:rPr>
          <w:rFonts w:hint="eastAsia" w:ascii="仿宋" w:hAnsi="仿宋" w:eastAsia="仿宋" w:cs="仿宋_GB2312"/>
          <w:snapToGrid w:val="0"/>
          <w:color w:val="auto"/>
          <w:kern w:val="2"/>
          <w:lang w:eastAsia="zh-CN"/>
        </w:rPr>
        <w:t>。扶持奖励资金采取财政预算总额控制，分类择优奖励，额满即止的方式申请拨付。</w:t>
      </w:r>
    </w:p>
    <w:p>
      <w:pPr>
        <w:keepNext w:val="0"/>
        <w:keepLines w:val="0"/>
        <w:pageBreakBefore w:val="0"/>
        <w:widowControl w:val="0"/>
        <w:numPr>
          <w:ilvl w:val="0"/>
          <w:numId w:val="0"/>
        </w:numP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黑体" w:hAnsi="黑体" w:eastAsia="黑体" w:cs="黑体"/>
          <w:bCs/>
          <w:snapToGrid w:val="0"/>
          <w:color w:val="auto"/>
          <w:spacing w:val="0"/>
          <w:kern w:val="2"/>
          <w:sz w:val="32"/>
          <w:szCs w:val="32"/>
          <w:lang w:eastAsia="zh-CN"/>
        </w:rPr>
      </w:pPr>
      <w:r>
        <w:rPr>
          <w:rFonts w:hint="eastAsia" w:ascii="黑体" w:hAnsi="黑体" w:eastAsia="黑体" w:cs="黑体"/>
          <w:bCs/>
          <w:snapToGrid w:val="0"/>
          <w:color w:val="auto"/>
          <w:spacing w:val="0"/>
          <w:kern w:val="2"/>
          <w:sz w:val="32"/>
          <w:szCs w:val="32"/>
          <w:lang w:eastAsia="zh-CN"/>
        </w:rPr>
        <w:t>三、奖励对象及范围</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申请扶持奖励对象：符合扶持奖励条件的在南海区行政区域内注册、依法经营的企事业单位、社会组织（中介服务机构不受此限制），户籍或常住地在南海行政区域内的个人。</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_GB2312"/>
          <w:snapToGrid w:val="0"/>
          <w:color w:val="auto"/>
          <w:sz w:val="32"/>
          <w:szCs w:val="32"/>
        </w:rPr>
        <w:t>扶持奖励项目范围：</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（一）有利于促进污染减排，改善空气质量的大气污染防治技改项目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（二）污染物集中治理项目建设、运营</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（三）有利于促进环境监管能力提升的项目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（四）有利于促进环境管理水平提升的项目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（五）</w:t>
      </w:r>
      <w:r>
        <w:rPr>
          <w:rFonts w:hint="eastAsia" w:ascii="仿宋" w:hAnsi="仿宋" w:eastAsia="仿宋" w:cs="仿宋"/>
          <w:snapToGrid w:val="0"/>
          <w:color w:val="auto"/>
          <w:sz w:val="32"/>
          <w:szCs w:val="32"/>
          <w:lang w:eastAsia="zh-CN"/>
        </w:rPr>
        <w:t>有利于</w:t>
      </w:r>
      <w:r>
        <w:rPr>
          <w:rFonts w:hint="eastAsia" w:ascii="仿宋" w:hAnsi="仿宋" w:eastAsia="仿宋" w:cs="仿宋"/>
          <w:snapToGrid w:val="0"/>
          <w:color w:val="auto"/>
          <w:kern w:val="2"/>
          <w:sz w:val="32"/>
          <w:szCs w:val="32"/>
          <w:lang w:val="en-US" w:eastAsia="zh-CN"/>
        </w:rPr>
        <w:t>提高废水污染防治水平的改造项目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（六）有利于提高工业危险废物收集转运效率的项目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lang w:eastAsia="zh-CN"/>
        </w:rPr>
      </w:pPr>
      <w:r>
        <w:rPr>
          <w:rFonts w:hint="eastAsia" w:ascii="仿宋" w:hAnsi="仿宋" w:eastAsia="仿宋" w:cs="仿宋"/>
          <w:snapToGrid w:val="0"/>
          <w:color w:val="auto"/>
          <w:sz w:val="32"/>
          <w:szCs w:val="32"/>
          <w:lang w:eastAsia="zh-CN"/>
        </w:rPr>
        <w:t>（七）有利于</w:t>
      </w:r>
      <w:r>
        <w:rPr>
          <w:rFonts w:hint="eastAsia" w:ascii="仿宋" w:hAnsi="仿宋" w:eastAsia="仿宋" w:cs="仿宋"/>
          <w:snapToGrid w:val="0"/>
          <w:color w:val="auto"/>
          <w:kern w:val="2"/>
          <w:sz w:val="32"/>
          <w:szCs w:val="32"/>
          <w:lang w:val="en-US" w:eastAsia="zh-CN"/>
        </w:rPr>
        <w:t>提高污染物防治水平的</w:t>
      </w:r>
      <w:r>
        <w:rPr>
          <w:rFonts w:hint="eastAsia" w:ascii="仿宋" w:hAnsi="仿宋" w:eastAsia="仿宋" w:cs="仿宋"/>
          <w:snapToGrid w:val="0"/>
          <w:color w:val="auto"/>
          <w:sz w:val="32"/>
          <w:szCs w:val="32"/>
          <w:lang w:eastAsia="zh-CN"/>
        </w:rPr>
        <w:t>其它污染防治示范项目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w:t>
      </w:r>
      <w:r>
        <w:rPr>
          <w:rFonts w:hint="eastAsia" w:ascii="仿宋" w:hAnsi="仿宋" w:eastAsia="仿宋" w:cs="仿宋"/>
          <w:snapToGrid w:val="0"/>
          <w:color w:val="auto"/>
          <w:sz w:val="32"/>
          <w:szCs w:val="32"/>
          <w:lang w:eastAsia="zh-CN"/>
        </w:rPr>
        <w:t>八</w:t>
      </w:r>
      <w:r>
        <w:rPr>
          <w:rFonts w:hint="eastAsia" w:ascii="仿宋" w:hAnsi="仿宋" w:eastAsia="仿宋" w:cs="仿宋"/>
          <w:snapToGrid w:val="0"/>
          <w:color w:val="auto"/>
          <w:sz w:val="32"/>
          <w:szCs w:val="32"/>
        </w:rPr>
        <w:t>）其他对环境保护工作有突出贡献和推动的项目</w:t>
      </w:r>
    </w:p>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b/>
          <w:bCs/>
          <w:snapToGrid w:val="0"/>
          <w:color w:val="auto"/>
          <w:spacing w:val="0"/>
          <w:kern w:val="2"/>
          <w:highlight w:val="none"/>
          <w:lang w:val="en-US" w:eastAsia="zh-CN"/>
        </w:rPr>
      </w:pPr>
      <w:r>
        <w:rPr>
          <w:rFonts w:hint="eastAsia" w:ascii="仿宋" w:hAnsi="仿宋" w:eastAsia="仿宋"/>
          <w:b/>
          <w:bCs/>
          <w:snapToGrid w:val="0"/>
          <w:color w:val="auto"/>
          <w:spacing w:val="0"/>
          <w:kern w:val="2"/>
          <w:highlight w:val="none"/>
          <w:lang w:eastAsia="zh-CN"/>
        </w:rPr>
        <w:t>解读：</w:t>
      </w:r>
    </w:p>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snapToGrid w:val="0"/>
          <w:color w:val="auto"/>
          <w:spacing w:val="0"/>
          <w:kern w:val="2"/>
          <w:lang w:val="en-US" w:eastAsia="zh-CN"/>
        </w:rPr>
      </w:pPr>
      <w:r>
        <w:rPr>
          <w:rFonts w:hint="eastAsia" w:ascii="仿宋" w:hAnsi="仿宋" w:eastAsia="仿宋" w:cs="仿宋_GB2312"/>
          <w:snapToGrid w:val="0"/>
          <w:color w:val="auto"/>
          <w:kern w:val="2"/>
          <w:lang w:val="en-US" w:eastAsia="zh-CN"/>
        </w:rPr>
        <w:t>1、</w:t>
      </w:r>
      <w:r>
        <w:rPr>
          <w:rFonts w:hint="eastAsia" w:ascii="仿宋" w:hAnsi="仿宋" w:eastAsia="仿宋" w:cs="仿宋_GB2312"/>
          <w:snapToGrid w:val="0"/>
          <w:color w:val="auto"/>
          <w:kern w:val="2"/>
          <w:lang w:eastAsia="zh-CN"/>
        </w:rPr>
        <w:t>不</w:t>
      </w:r>
      <w:r>
        <w:rPr>
          <w:rFonts w:hint="eastAsia" w:ascii="仿宋" w:hAnsi="仿宋" w:eastAsia="仿宋"/>
          <w:snapToGrid w:val="0"/>
          <w:color w:val="auto"/>
          <w:spacing w:val="0"/>
          <w:kern w:val="2"/>
          <w:lang w:val="en-US" w:eastAsia="zh-CN"/>
        </w:rPr>
        <w:t>在</w:t>
      </w:r>
      <w:r>
        <w:rPr>
          <w:rFonts w:hint="eastAsia" w:ascii="仿宋" w:hAnsi="仿宋" w:eastAsia="仿宋" w:cs="仿宋_GB2312"/>
          <w:snapToGrid w:val="0"/>
          <w:color w:val="auto"/>
          <w:kern w:val="2"/>
          <w:lang w:eastAsia="zh-CN"/>
        </w:rPr>
        <w:t>南海</w:t>
      </w:r>
      <w:r>
        <w:rPr>
          <w:rFonts w:ascii="仿宋" w:hAnsi="仿宋" w:eastAsia="仿宋" w:cs="仿宋_GB2312"/>
          <w:snapToGrid w:val="0"/>
          <w:color w:val="auto"/>
          <w:kern w:val="2"/>
        </w:rPr>
        <w:t>区行政区域内注册</w:t>
      </w:r>
      <w:r>
        <w:rPr>
          <w:rFonts w:hint="eastAsia" w:ascii="仿宋" w:hAnsi="仿宋" w:eastAsia="仿宋" w:cs="仿宋_GB2312"/>
          <w:snapToGrid w:val="0"/>
          <w:color w:val="auto"/>
          <w:kern w:val="2"/>
          <w:lang w:eastAsia="zh-CN"/>
        </w:rPr>
        <w:t>的</w:t>
      </w:r>
      <w:r>
        <w:rPr>
          <w:rFonts w:hint="eastAsia" w:ascii="仿宋" w:hAnsi="仿宋" w:eastAsia="仿宋" w:cs="仿宋"/>
          <w:snapToGrid w:val="0"/>
          <w:color w:val="auto"/>
          <w:sz w:val="32"/>
          <w:szCs w:val="32"/>
        </w:rPr>
        <w:t>企事业单位、社会组织（中介服务机</w:t>
      </w:r>
      <w:r>
        <w:rPr>
          <w:rFonts w:hint="eastAsia" w:ascii="仿宋" w:hAnsi="仿宋" w:eastAsia="仿宋" w:cs="仿宋"/>
          <w:snapToGrid w:val="0"/>
          <w:color w:val="auto"/>
          <w:sz w:val="32"/>
          <w:szCs w:val="32"/>
          <w:lang w:eastAsia="zh-CN"/>
        </w:rPr>
        <w:t>除外</w:t>
      </w:r>
      <w:r>
        <w:rPr>
          <w:rFonts w:hint="eastAsia" w:ascii="仿宋" w:hAnsi="仿宋" w:eastAsia="仿宋" w:cs="仿宋"/>
          <w:snapToGrid w:val="0"/>
          <w:color w:val="auto"/>
          <w:sz w:val="32"/>
          <w:szCs w:val="32"/>
        </w:rPr>
        <w:t>）</w:t>
      </w:r>
      <w:r>
        <w:rPr>
          <w:rFonts w:hint="eastAsia" w:ascii="仿宋" w:hAnsi="仿宋" w:eastAsia="仿宋" w:cs="仿宋_GB2312"/>
          <w:snapToGrid w:val="0"/>
          <w:color w:val="auto"/>
          <w:kern w:val="2"/>
          <w:lang w:eastAsia="zh-CN"/>
        </w:rPr>
        <w:t>，以及户籍或常住地不在南海</w:t>
      </w:r>
      <w:r>
        <w:rPr>
          <w:rFonts w:ascii="仿宋" w:hAnsi="仿宋" w:eastAsia="仿宋" w:cs="仿宋_GB2312"/>
          <w:snapToGrid w:val="0"/>
          <w:color w:val="auto"/>
          <w:kern w:val="2"/>
        </w:rPr>
        <w:t>区</w:t>
      </w:r>
      <w:r>
        <w:rPr>
          <w:rFonts w:hint="eastAsia" w:ascii="仿宋" w:hAnsi="仿宋" w:eastAsia="仿宋" w:cs="仿宋_GB2312"/>
          <w:snapToGrid w:val="0"/>
          <w:color w:val="auto"/>
          <w:kern w:val="2"/>
          <w:lang w:eastAsia="zh-CN"/>
        </w:rPr>
        <w:t>行政区域内的个人不适用本办法。</w:t>
      </w:r>
    </w:p>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snapToGrid w:val="0"/>
          <w:color w:val="auto"/>
          <w:spacing w:val="0"/>
          <w:kern w:val="2"/>
          <w:lang w:val="en-US" w:eastAsia="zh-CN"/>
        </w:rPr>
      </w:pPr>
      <w:r>
        <w:rPr>
          <w:rFonts w:hint="eastAsia" w:ascii="仿宋" w:hAnsi="仿宋" w:eastAsia="仿宋"/>
          <w:snapToGrid w:val="0"/>
          <w:color w:val="auto"/>
          <w:spacing w:val="0"/>
          <w:kern w:val="2"/>
          <w:lang w:val="en-US" w:eastAsia="zh-CN"/>
        </w:rPr>
        <w:t>2、“中介服务机构除外”是指：在南海区行政区域内</w:t>
      </w:r>
      <w:r>
        <w:rPr>
          <w:rFonts w:hint="eastAsia" w:ascii="仿宋" w:hAnsi="仿宋" w:eastAsia="仿宋" w:cs="仿宋"/>
          <w:snapToGrid w:val="0"/>
          <w:color w:val="auto"/>
          <w:sz w:val="32"/>
          <w:szCs w:val="32"/>
        </w:rPr>
        <w:t>注册、依法经营</w:t>
      </w:r>
      <w:r>
        <w:rPr>
          <w:rFonts w:hint="eastAsia" w:ascii="仿宋" w:hAnsi="仿宋" w:eastAsia="仿宋"/>
          <w:snapToGrid w:val="0"/>
          <w:color w:val="auto"/>
          <w:spacing w:val="0"/>
          <w:kern w:val="2"/>
          <w:lang w:val="en-US" w:eastAsia="zh-CN"/>
        </w:rPr>
        <w:t>的企事业单位、社会组织申报的项目，需委托中介服务机构参与项目建设或提供相关服务的，对中介服务机构注册地无限制要求。</w:t>
      </w:r>
    </w:p>
    <w:p>
      <w:pPr>
        <w:keepNext w:val="0"/>
        <w:keepLines w:val="0"/>
        <w:pageBreakBefore w:val="0"/>
        <w:widowControl w:val="0"/>
        <w:numPr>
          <w:ilvl w:val="0"/>
          <w:numId w:val="0"/>
        </w:numP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黑体" w:hAnsi="黑体" w:eastAsia="黑体" w:cs="黑体"/>
          <w:bCs/>
          <w:snapToGrid w:val="0"/>
          <w:color w:val="auto"/>
          <w:spacing w:val="0"/>
          <w:kern w:val="2"/>
          <w:sz w:val="32"/>
          <w:szCs w:val="32"/>
          <w:lang w:eastAsia="zh-CN"/>
        </w:rPr>
      </w:pPr>
      <w:r>
        <w:rPr>
          <w:rFonts w:hint="eastAsia" w:ascii="黑体" w:hAnsi="黑体" w:eastAsia="黑体" w:cs="黑体"/>
          <w:bCs/>
          <w:snapToGrid w:val="0"/>
          <w:color w:val="auto"/>
          <w:spacing w:val="0"/>
          <w:kern w:val="2"/>
          <w:sz w:val="32"/>
          <w:szCs w:val="32"/>
          <w:lang w:eastAsia="zh-CN"/>
        </w:rPr>
        <w:t>四、奖励和扶持措施</w:t>
      </w:r>
    </w:p>
    <w:p>
      <w:pPr>
        <w:pStyle w:val="14"/>
        <w:keepNext w:val="0"/>
        <w:keepLines w:val="0"/>
        <w:pageBreakBefore w:val="0"/>
        <w:widowControl w:val="0"/>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楷体" w:hAnsi="楷体" w:eastAsia="楷体" w:cs="楷体"/>
          <w:b/>
          <w:bCs/>
          <w:snapToGrid w:val="0"/>
          <w:color w:val="auto"/>
          <w:kern w:val="2"/>
        </w:rPr>
      </w:pPr>
      <w:r>
        <w:rPr>
          <w:rFonts w:hint="eastAsia" w:ascii="楷体" w:hAnsi="楷体" w:eastAsia="楷体" w:cs="楷体"/>
          <w:b/>
          <w:bCs/>
          <w:snapToGrid w:val="0"/>
          <w:color w:val="auto"/>
          <w:kern w:val="2"/>
          <w:lang w:eastAsia="zh-CN"/>
        </w:rPr>
        <w:t>《办法》第八条</w:t>
      </w:r>
      <w:r>
        <w:rPr>
          <w:rFonts w:hint="eastAsia" w:ascii="楷体" w:hAnsi="楷体" w:eastAsia="楷体" w:cs="楷体"/>
          <w:b/>
          <w:bCs/>
          <w:snapToGrid w:val="0"/>
          <w:color w:val="auto"/>
          <w:kern w:val="2"/>
          <w:lang w:val="en-US" w:eastAsia="zh-CN"/>
        </w:rPr>
        <w:t xml:space="preserve"> </w:t>
      </w:r>
      <w:r>
        <w:rPr>
          <w:rFonts w:hint="eastAsia" w:ascii="楷体" w:hAnsi="楷体" w:eastAsia="楷体" w:cs="楷体"/>
          <w:b/>
          <w:bCs/>
          <w:snapToGrid w:val="0"/>
          <w:color w:val="auto"/>
          <w:kern w:val="2"/>
        </w:rPr>
        <w:t>对大气污染防治技术改造项目的扶持和奖励</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企业开展固定污染源大气污染防治技术改造，且稳定达标运行一年以上，促进污染减排，提升环境治理水平的，对照地方大气污染物排放标准，根据工程项目投资情况和环保效益不同，实行差别化的资金奖励。</w:t>
      </w:r>
    </w:p>
    <w:p>
      <w:pPr>
        <w:pStyle w:val="14"/>
        <w:keepNext w:val="0"/>
        <w:keepLines w:val="0"/>
        <w:pageBreakBefore w:val="0"/>
        <w:widowControl w:val="0"/>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cs="仿宋_GB2312"/>
          <w:b/>
          <w:bCs/>
          <w:snapToGrid w:val="0"/>
          <w:color w:val="auto"/>
          <w:kern w:val="2"/>
          <w:lang w:eastAsia="zh-CN"/>
        </w:rPr>
      </w:pPr>
      <w:r>
        <w:rPr>
          <w:rFonts w:hint="eastAsia" w:ascii="仿宋" w:hAnsi="仿宋" w:eastAsia="仿宋" w:cs="仿宋_GB2312"/>
          <w:b/>
          <w:bCs/>
          <w:snapToGrid w:val="0"/>
          <w:color w:val="auto"/>
          <w:kern w:val="2"/>
          <w:lang w:eastAsia="zh-CN"/>
        </w:rPr>
        <w:t>解读：</w:t>
      </w:r>
    </w:p>
    <w:p>
      <w:pPr>
        <w:pStyle w:val="14"/>
        <w:keepNext w:val="0"/>
        <w:keepLines w:val="0"/>
        <w:pageBreakBefore w:val="0"/>
        <w:widowControl w:val="0"/>
        <w:numPr>
          <w:ilvl w:val="0"/>
          <w:numId w:val="2"/>
        </w:numPr>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snapToGrid w:val="0"/>
          <w:color w:val="auto"/>
          <w:spacing w:val="0"/>
          <w:kern w:val="2"/>
          <w:lang w:val="en-US" w:eastAsia="zh-CN"/>
        </w:rPr>
      </w:pPr>
      <w:r>
        <w:rPr>
          <w:rFonts w:hint="eastAsia" w:ascii="仿宋" w:hAnsi="仿宋" w:eastAsia="仿宋"/>
          <w:snapToGrid w:val="0"/>
          <w:color w:val="auto"/>
          <w:spacing w:val="0"/>
          <w:kern w:val="2"/>
          <w:lang w:eastAsia="zh-CN"/>
        </w:rPr>
        <w:t>奖励对象原则上为本办法印发后建设完成的企业固定污染源大气污染防治技术改造项目</w:t>
      </w:r>
      <w:r>
        <w:rPr>
          <w:rFonts w:hint="eastAsia" w:ascii="仿宋" w:hAnsi="仿宋" w:eastAsia="仿宋"/>
          <w:snapToGrid w:val="0"/>
          <w:color w:val="auto"/>
          <w:spacing w:val="0"/>
          <w:kern w:val="2"/>
          <w:lang w:val="en-US" w:eastAsia="zh-CN"/>
        </w:rPr>
        <w:t>。</w:t>
      </w:r>
    </w:p>
    <w:p>
      <w:pPr>
        <w:pStyle w:val="14"/>
        <w:keepNext w:val="0"/>
        <w:keepLines w:val="0"/>
        <w:pageBreakBefore w:val="0"/>
        <w:widowControl w:val="0"/>
        <w:numPr>
          <w:ilvl w:val="0"/>
          <w:numId w:val="2"/>
        </w:numPr>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snapToGrid w:val="0"/>
          <w:color w:val="auto"/>
          <w:spacing w:val="0"/>
          <w:kern w:val="2"/>
          <w:lang w:val="en-US" w:eastAsia="zh-CN"/>
        </w:rPr>
      </w:pPr>
      <w:r>
        <w:rPr>
          <w:rFonts w:hint="eastAsia" w:ascii="仿宋" w:hAnsi="仿宋" w:eastAsia="仿宋"/>
          <w:snapToGrid w:val="0"/>
          <w:color w:val="auto"/>
          <w:spacing w:val="0"/>
          <w:kern w:val="2"/>
          <w:lang w:val="en-US" w:eastAsia="zh-CN"/>
        </w:rPr>
        <w:t>“稳定达标运行一年以上”是指项目改造完成后能稳定达标运行一年以上，并能提供至少连续四个季度的相关监测报告予以证明，才能按照对应条款申请奖励。</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（二）具体支持范围</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ascii="仿宋" w:hAnsi="仿宋" w:eastAsia="仿宋" w:cs="仿宋"/>
          <w:snapToGrid w:val="0"/>
          <w:color w:val="auto"/>
          <w:sz w:val="32"/>
          <w:szCs w:val="32"/>
          <w:lang w:bidi="ar"/>
        </w:rPr>
      </w:pPr>
      <w:r>
        <w:rPr>
          <w:rFonts w:hint="eastAsia" w:ascii="仿宋" w:hAnsi="仿宋" w:eastAsia="仿宋" w:cs="仿宋"/>
          <w:snapToGrid w:val="0"/>
          <w:color w:val="auto"/>
          <w:sz w:val="32"/>
          <w:szCs w:val="32"/>
          <w:lang w:bidi="ar"/>
        </w:rPr>
        <w:t>1</w:t>
      </w:r>
      <w:r>
        <w:rPr>
          <w:rFonts w:hint="eastAsia" w:cs="仿宋"/>
          <w:snapToGrid w:val="0"/>
          <w:color w:val="auto"/>
          <w:sz w:val="32"/>
          <w:szCs w:val="32"/>
          <w:lang w:eastAsia="zh-CN" w:bidi="ar"/>
        </w:rPr>
        <w:t>．</w:t>
      </w:r>
      <w:r>
        <w:rPr>
          <w:rFonts w:ascii="仿宋" w:hAnsi="仿宋" w:eastAsia="仿宋" w:cs="仿宋"/>
          <w:snapToGrid w:val="0"/>
          <w:color w:val="auto"/>
          <w:sz w:val="32"/>
          <w:szCs w:val="32"/>
          <w:lang w:bidi="ar"/>
        </w:rPr>
        <w:t>挥发性有机物治理领域。石油化工、油品储运</w:t>
      </w:r>
      <w:r>
        <w:rPr>
          <w:rFonts w:hint="eastAsia" w:ascii="仿宋" w:hAnsi="仿宋" w:eastAsia="仿宋" w:cs="仿宋"/>
          <w:snapToGrid w:val="0"/>
          <w:color w:val="auto"/>
          <w:sz w:val="32"/>
          <w:szCs w:val="32"/>
          <w:lang w:bidi="ar"/>
        </w:rPr>
        <w:t>销售</w:t>
      </w:r>
      <w:r>
        <w:rPr>
          <w:rFonts w:ascii="仿宋" w:hAnsi="仿宋" w:eastAsia="仿宋" w:cs="仿宋"/>
          <w:snapToGrid w:val="0"/>
          <w:color w:val="auto"/>
          <w:sz w:val="32"/>
          <w:szCs w:val="32"/>
          <w:lang w:bidi="ar"/>
        </w:rPr>
        <w:t>、汽车制造、汽车修理、包装印刷、机械电子、工业涂装</w:t>
      </w:r>
      <w:r>
        <w:rPr>
          <w:rFonts w:hint="eastAsia" w:ascii="仿宋" w:hAnsi="仿宋" w:eastAsia="仿宋" w:cs="仿宋"/>
          <w:snapToGrid w:val="0"/>
          <w:color w:val="auto"/>
          <w:sz w:val="32"/>
          <w:szCs w:val="32"/>
          <w:lang w:bidi="ar"/>
        </w:rPr>
        <w:t>、塑料加工、家具制造</w:t>
      </w:r>
      <w:r>
        <w:rPr>
          <w:rFonts w:ascii="仿宋" w:hAnsi="仿宋" w:eastAsia="仿宋" w:cs="仿宋"/>
          <w:snapToGrid w:val="0"/>
          <w:color w:val="auto"/>
          <w:sz w:val="32"/>
          <w:szCs w:val="32"/>
          <w:lang w:bidi="ar"/>
        </w:rPr>
        <w:t>等重点行业低挥发性有机涂料替代、有机废气治理等挥发性有机物污染治理环保技改项目。</w:t>
      </w:r>
    </w:p>
    <w:p>
      <w:pPr>
        <w:pStyle w:val="5"/>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474" w:firstLineChars="150"/>
        <w:jc w:val="both"/>
        <w:textAlignment w:val="auto"/>
        <w:rPr>
          <w:rFonts w:ascii="仿宋" w:hAnsi="仿宋" w:eastAsia="仿宋" w:cs="仿宋"/>
          <w:snapToGrid w:val="0"/>
          <w:color w:val="auto"/>
          <w:kern w:val="2"/>
          <w:sz w:val="32"/>
          <w:szCs w:val="32"/>
        </w:rPr>
      </w:pPr>
      <w:r>
        <w:rPr>
          <w:rFonts w:hint="eastAsia" w:ascii="仿宋" w:hAnsi="仿宋" w:eastAsia="仿宋" w:cs="仿宋"/>
          <w:snapToGrid w:val="0"/>
          <w:color w:val="auto"/>
          <w:kern w:val="2"/>
          <w:sz w:val="32"/>
          <w:szCs w:val="32"/>
        </w:rPr>
        <w:t>2</w:t>
      </w:r>
      <w:r>
        <w:rPr>
          <w:rFonts w:hint="eastAsia" w:cs="仿宋"/>
          <w:snapToGrid w:val="0"/>
          <w:color w:val="auto"/>
          <w:kern w:val="2"/>
          <w:sz w:val="32"/>
          <w:szCs w:val="32"/>
          <w:lang w:eastAsia="zh-CN"/>
        </w:rPr>
        <w:t>．</w:t>
      </w:r>
      <w:r>
        <w:rPr>
          <w:rFonts w:ascii="仿宋" w:hAnsi="仿宋" w:eastAsia="仿宋" w:cs="仿宋"/>
          <w:snapToGrid w:val="0"/>
          <w:color w:val="auto"/>
          <w:kern w:val="2"/>
          <w:sz w:val="32"/>
          <w:szCs w:val="32"/>
        </w:rPr>
        <w:t>氮氧化物治理领域。企业实施低氮燃烧技术改造、烟气脱硝工程等氮氧化物污染治理环保技改项目。</w:t>
      </w:r>
    </w:p>
    <w:p>
      <w:pPr>
        <w:pStyle w:val="5"/>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474" w:firstLineChars="150"/>
        <w:jc w:val="both"/>
        <w:textAlignment w:val="auto"/>
        <w:rPr>
          <w:rFonts w:ascii="仿宋" w:hAnsi="仿宋" w:eastAsia="仿宋" w:cs="仿宋"/>
          <w:snapToGrid w:val="0"/>
          <w:color w:val="auto"/>
          <w:kern w:val="2"/>
          <w:sz w:val="32"/>
          <w:szCs w:val="32"/>
        </w:rPr>
      </w:pPr>
      <w:r>
        <w:rPr>
          <w:rFonts w:hint="eastAsia" w:ascii="仿宋" w:hAnsi="仿宋" w:eastAsia="仿宋" w:cs="仿宋"/>
          <w:snapToGrid w:val="0"/>
          <w:color w:val="auto"/>
          <w:kern w:val="2"/>
          <w:sz w:val="32"/>
          <w:szCs w:val="32"/>
        </w:rPr>
        <w:t>3</w:t>
      </w:r>
      <w:r>
        <w:rPr>
          <w:rFonts w:hint="eastAsia" w:cs="仿宋"/>
          <w:snapToGrid w:val="0"/>
          <w:color w:val="auto"/>
          <w:kern w:val="2"/>
          <w:sz w:val="32"/>
          <w:szCs w:val="32"/>
          <w:lang w:eastAsia="zh-CN"/>
        </w:rPr>
        <w:t>．</w:t>
      </w:r>
      <w:r>
        <w:rPr>
          <w:rFonts w:ascii="仿宋" w:hAnsi="仿宋" w:eastAsia="仿宋" w:cs="仿宋"/>
          <w:snapToGrid w:val="0"/>
          <w:color w:val="auto"/>
          <w:kern w:val="2"/>
          <w:sz w:val="32"/>
          <w:szCs w:val="32"/>
        </w:rPr>
        <w:t>二氧化硫、烟粉尘及其他有毒污染物治理领域。企业实施脱硫、除尘及控制有毒污染物排放等环保技改项目。</w:t>
      </w:r>
    </w:p>
    <w:p>
      <w:pPr>
        <w:pStyle w:val="5"/>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474" w:firstLineChars="150"/>
        <w:jc w:val="both"/>
        <w:textAlignment w:val="auto"/>
        <w:rPr>
          <w:rFonts w:ascii="仿宋" w:hAnsi="仿宋" w:eastAsia="仿宋" w:cs="仿宋"/>
          <w:snapToGrid w:val="0"/>
          <w:color w:val="auto"/>
          <w:kern w:val="2"/>
          <w:sz w:val="32"/>
          <w:szCs w:val="32"/>
        </w:rPr>
      </w:pPr>
      <w:r>
        <w:rPr>
          <w:rFonts w:hint="eastAsia" w:ascii="仿宋" w:hAnsi="仿宋" w:eastAsia="仿宋" w:cs="仿宋"/>
          <w:snapToGrid w:val="0"/>
          <w:color w:val="auto"/>
          <w:kern w:val="2"/>
          <w:sz w:val="32"/>
          <w:szCs w:val="32"/>
        </w:rPr>
        <w:t>4</w:t>
      </w:r>
      <w:r>
        <w:rPr>
          <w:rFonts w:hint="eastAsia" w:cs="仿宋"/>
          <w:snapToGrid w:val="0"/>
          <w:color w:val="auto"/>
          <w:kern w:val="2"/>
          <w:sz w:val="32"/>
          <w:szCs w:val="32"/>
          <w:lang w:eastAsia="zh-CN"/>
        </w:rPr>
        <w:t>．</w:t>
      </w:r>
      <w:r>
        <w:rPr>
          <w:rFonts w:ascii="仿宋" w:hAnsi="仿宋" w:eastAsia="仿宋" w:cs="仿宋"/>
          <w:snapToGrid w:val="0"/>
          <w:color w:val="auto"/>
          <w:kern w:val="2"/>
          <w:sz w:val="32"/>
          <w:szCs w:val="32"/>
        </w:rPr>
        <w:t>其他</w:t>
      </w:r>
      <w:r>
        <w:rPr>
          <w:rFonts w:hint="eastAsia" w:ascii="仿宋" w:hAnsi="仿宋" w:eastAsia="仿宋" w:cs="仿宋"/>
          <w:snapToGrid w:val="0"/>
          <w:color w:val="auto"/>
          <w:kern w:val="2"/>
          <w:sz w:val="32"/>
          <w:szCs w:val="32"/>
        </w:rPr>
        <w:t>大气污染防治</w:t>
      </w:r>
      <w:r>
        <w:rPr>
          <w:rFonts w:ascii="仿宋" w:hAnsi="仿宋" w:eastAsia="仿宋" w:cs="仿宋"/>
          <w:snapToGrid w:val="0"/>
          <w:color w:val="auto"/>
          <w:kern w:val="2"/>
          <w:sz w:val="32"/>
          <w:szCs w:val="32"/>
        </w:rPr>
        <w:t>重点环保技改项目。</w:t>
      </w:r>
    </w:p>
    <w:p>
      <w:pPr>
        <w:pStyle w:val="5"/>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474" w:firstLineChars="150"/>
        <w:jc w:val="both"/>
        <w:textAlignment w:val="auto"/>
        <w:rPr>
          <w:rFonts w:hint="eastAsia" w:ascii="仿宋" w:hAnsi="仿宋" w:eastAsia="仿宋" w:cs="仿宋"/>
          <w:snapToGrid w:val="0"/>
          <w:color w:val="auto"/>
          <w:kern w:val="2"/>
          <w:sz w:val="32"/>
          <w:szCs w:val="32"/>
        </w:rPr>
      </w:pPr>
      <w:r>
        <w:rPr>
          <w:rFonts w:hint="eastAsia" w:ascii="仿宋" w:hAnsi="仿宋" w:eastAsia="仿宋" w:cs="仿宋"/>
          <w:snapToGrid w:val="0"/>
          <w:color w:val="auto"/>
          <w:kern w:val="2"/>
          <w:sz w:val="32"/>
          <w:szCs w:val="32"/>
        </w:rPr>
        <w:t>5</w:t>
      </w:r>
      <w:r>
        <w:rPr>
          <w:rFonts w:hint="eastAsia" w:cs="仿宋"/>
          <w:snapToGrid w:val="0"/>
          <w:color w:val="auto"/>
          <w:kern w:val="2"/>
          <w:sz w:val="32"/>
          <w:szCs w:val="32"/>
          <w:lang w:eastAsia="zh-CN"/>
        </w:rPr>
        <w:t>．</w:t>
      </w:r>
      <w:r>
        <w:rPr>
          <w:rFonts w:hint="eastAsia" w:ascii="仿宋" w:hAnsi="仿宋" w:eastAsia="仿宋" w:cs="仿宋"/>
          <w:snapToGrid w:val="0"/>
          <w:color w:val="auto"/>
          <w:kern w:val="2"/>
          <w:sz w:val="32"/>
          <w:szCs w:val="32"/>
        </w:rPr>
        <w:t>由于排放标准收严或政府实施的行业整治等强制性要求而开展大气污染防治技改的项目不予以奖励。</w:t>
      </w:r>
    </w:p>
    <w:p>
      <w:pPr>
        <w:pStyle w:val="14"/>
        <w:keepNext w:val="0"/>
        <w:keepLines w:val="0"/>
        <w:pageBreakBefore w:val="0"/>
        <w:widowControl w:val="0"/>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cs="仿宋_GB2312"/>
          <w:b/>
          <w:bCs/>
          <w:snapToGrid w:val="0"/>
          <w:color w:val="auto"/>
          <w:kern w:val="2"/>
          <w:lang w:eastAsia="zh-CN"/>
        </w:rPr>
      </w:pPr>
      <w:r>
        <w:rPr>
          <w:rFonts w:hint="eastAsia" w:ascii="仿宋" w:hAnsi="仿宋" w:eastAsia="仿宋" w:cs="仿宋_GB2312"/>
          <w:b/>
          <w:bCs/>
          <w:snapToGrid w:val="0"/>
          <w:color w:val="auto"/>
          <w:kern w:val="2"/>
          <w:lang w:eastAsia="zh-CN"/>
        </w:rPr>
        <w:t>解读：</w:t>
      </w:r>
    </w:p>
    <w:p>
      <w:pPr>
        <w:pStyle w:val="14"/>
        <w:keepNext w:val="0"/>
        <w:keepLines w:val="0"/>
        <w:pageBreakBefore w:val="0"/>
        <w:widowControl w:val="0"/>
        <w:numPr>
          <w:ilvl w:val="0"/>
          <w:numId w:val="0"/>
        </w:numPr>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right="0" w:rightChars="0" w:firstLine="632" w:firstLineChars="200"/>
        <w:jc w:val="both"/>
        <w:textAlignment w:val="auto"/>
        <w:outlineLvl w:val="9"/>
        <w:rPr>
          <w:rFonts w:hint="eastAsia" w:ascii="仿宋" w:hAnsi="仿宋" w:eastAsia="仿宋"/>
          <w:snapToGrid w:val="0"/>
          <w:color w:val="auto"/>
          <w:spacing w:val="0"/>
          <w:kern w:val="2"/>
          <w:lang w:val="en-US" w:eastAsia="zh-CN"/>
        </w:rPr>
      </w:pPr>
      <w:r>
        <w:rPr>
          <w:rFonts w:hint="eastAsia" w:ascii="仿宋" w:hAnsi="仿宋" w:eastAsia="仿宋"/>
          <w:snapToGrid w:val="0"/>
          <w:color w:val="auto"/>
          <w:spacing w:val="0"/>
          <w:kern w:val="2"/>
          <w:lang w:val="en-US" w:eastAsia="zh-CN"/>
        </w:rPr>
        <w:t>在排放标准收严或政府实施的行业整治等强制性要求前建成的大气污染防治技改项目，符合条件的可申请奖励。</w:t>
      </w:r>
    </w:p>
    <w:p>
      <w:pPr>
        <w:pStyle w:val="5"/>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474" w:firstLineChars="150"/>
        <w:jc w:val="both"/>
        <w:textAlignment w:val="auto"/>
        <w:rPr>
          <w:rFonts w:hint="eastAsia" w:ascii="仿宋" w:hAnsi="仿宋" w:eastAsia="仿宋" w:cs="仿宋"/>
          <w:snapToGrid w:val="0"/>
          <w:color w:val="auto"/>
          <w:kern w:val="2"/>
          <w:sz w:val="32"/>
          <w:szCs w:val="32"/>
        </w:rPr>
      </w:pPr>
      <w:r>
        <w:rPr>
          <w:rFonts w:hint="eastAsia" w:ascii="仿宋" w:hAnsi="仿宋" w:eastAsia="仿宋" w:cs="仿宋"/>
          <w:snapToGrid w:val="0"/>
          <w:color w:val="auto"/>
          <w:kern w:val="2"/>
          <w:sz w:val="32"/>
          <w:szCs w:val="32"/>
        </w:rPr>
        <w:t>（三）差别化奖励标准</w:t>
      </w:r>
    </w:p>
    <w:p>
      <w:pPr>
        <w:pStyle w:val="5"/>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474" w:firstLineChars="150"/>
        <w:jc w:val="both"/>
        <w:textAlignment w:val="auto"/>
        <w:rPr>
          <w:rFonts w:hint="eastAsia" w:ascii="仿宋" w:hAnsi="仿宋" w:eastAsia="仿宋" w:cs="仿宋"/>
          <w:snapToGrid w:val="0"/>
          <w:color w:val="auto"/>
          <w:kern w:val="2"/>
          <w:sz w:val="32"/>
          <w:szCs w:val="32"/>
        </w:rPr>
      </w:pPr>
      <w:r>
        <w:rPr>
          <w:rFonts w:hint="eastAsia" w:ascii="仿宋" w:hAnsi="仿宋" w:eastAsia="仿宋" w:cs="仿宋"/>
          <w:snapToGrid w:val="0"/>
          <w:color w:val="auto"/>
          <w:kern w:val="2"/>
          <w:sz w:val="32"/>
          <w:szCs w:val="32"/>
        </w:rPr>
        <w:t>1</w:t>
      </w:r>
      <w:r>
        <w:rPr>
          <w:rFonts w:hint="eastAsia" w:cs="仿宋"/>
          <w:snapToGrid w:val="0"/>
          <w:color w:val="auto"/>
          <w:kern w:val="2"/>
          <w:sz w:val="32"/>
          <w:szCs w:val="32"/>
          <w:lang w:eastAsia="zh-CN"/>
        </w:rPr>
        <w:t>．</w:t>
      </w:r>
      <w:r>
        <w:rPr>
          <w:rFonts w:ascii="仿宋" w:hAnsi="仿宋" w:eastAsia="仿宋" w:cs="仿宋"/>
          <w:snapToGrid w:val="0"/>
          <w:color w:val="auto"/>
          <w:kern w:val="2"/>
          <w:sz w:val="32"/>
          <w:szCs w:val="32"/>
        </w:rPr>
        <w:t>改造后治理对象(污染物)排放浓度</w:t>
      </w:r>
      <w:r>
        <w:rPr>
          <w:rFonts w:hint="eastAsia" w:ascii="仿宋" w:hAnsi="仿宋" w:eastAsia="仿宋" w:cs="仿宋"/>
          <w:snapToGrid w:val="0"/>
          <w:color w:val="auto"/>
          <w:kern w:val="2"/>
          <w:sz w:val="32"/>
          <w:szCs w:val="32"/>
        </w:rPr>
        <w:t>等于或</w:t>
      </w:r>
      <w:r>
        <w:rPr>
          <w:rFonts w:ascii="仿宋" w:hAnsi="仿宋" w:eastAsia="仿宋" w:cs="仿宋"/>
          <w:snapToGrid w:val="0"/>
          <w:color w:val="auto"/>
          <w:kern w:val="2"/>
          <w:sz w:val="32"/>
          <w:szCs w:val="32"/>
        </w:rPr>
        <w:t>低于</w:t>
      </w:r>
      <w:r>
        <w:rPr>
          <w:rFonts w:hint="eastAsia" w:ascii="仿宋" w:hAnsi="仿宋" w:eastAsia="仿宋" w:cs="仿宋"/>
          <w:snapToGrid w:val="0"/>
          <w:color w:val="auto"/>
          <w:kern w:val="2"/>
          <w:sz w:val="32"/>
          <w:szCs w:val="32"/>
        </w:rPr>
        <w:t>地方</w:t>
      </w:r>
      <w:r>
        <w:rPr>
          <w:rFonts w:ascii="仿宋" w:hAnsi="仿宋" w:eastAsia="仿宋" w:cs="仿宋"/>
          <w:snapToGrid w:val="0"/>
          <w:color w:val="auto"/>
          <w:kern w:val="2"/>
          <w:sz w:val="32"/>
          <w:szCs w:val="32"/>
        </w:rPr>
        <w:t>现行环保标准限值的50%，且污染物去除效率大于20%，</w:t>
      </w:r>
      <w:r>
        <w:rPr>
          <w:rFonts w:hint="eastAsia" w:ascii="仿宋" w:hAnsi="仿宋" w:eastAsia="仿宋" w:cs="仿宋"/>
          <w:snapToGrid w:val="0"/>
          <w:color w:val="auto"/>
          <w:kern w:val="2"/>
          <w:sz w:val="32"/>
          <w:szCs w:val="32"/>
        </w:rPr>
        <w:t>总投资金额500万元（含）以下的，按总投资金额的30%给予资金奖励，最高奖励100万；总投资金额500万元以上的，按总投资金额的20%给予资金奖励，最高奖励200万。</w:t>
      </w:r>
    </w:p>
    <w:p>
      <w:pPr>
        <w:pStyle w:val="5"/>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474" w:firstLineChars="150"/>
        <w:jc w:val="both"/>
        <w:textAlignment w:val="auto"/>
        <w:rPr>
          <w:rFonts w:ascii="仿宋" w:hAnsi="仿宋" w:eastAsia="仿宋" w:cs="仿宋"/>
          <w:snapToGrid w:val="0"/>
          <w:color w:val="auto"/>
          <w:kern w:val="2"/>
          <w:sz w:val="32"/>
          <w:szCs w:val="32"/>
        </w:rPr>
      </w:pPr>
      <w:r>
        <w:rPr>
          <w:rFonts w:hint="eastAsia" w:ascii="仿宋" w:hAnsi="仿宋" w:eastAsia="仿宋" w:cs="仿宋"/>
          <w:snapToGrid w:val="0"/>
          <w:color w:val="auto"/>
          <w:kern w:val="2"/>
          <w:sz w:val="32"/>
          <w:szCs w:val="32"/>
        </w:rPr>
        <w:t>2</w:t>
      </w:r>
      <w:r>
        <w:rPr>
          <w:rFonts w:hint="eastAsia" w:cs="仿宋"/>
          <w:snapToGrid w:val="0"/>
          <w:color w:val="auto"/>
          <w:kern w:val="2"/>
          <w:sz w:val="32"/>
          <w:szCs w:val="32"/>
          <w:lang w:eastAsia="zh-CN"/>
        </w:rPr>
        <w:t>．</w:t>
      </w:r>
      <w:r>
        <w:rPr>
          <w:rFonts w:ascii="仿宋" w:hAnsi="仿宋" w:eastAsia="仿宋" w:cs="仿宋"/>
          <w:snapToGrid w:val="0"/>
          <w:color w:val="auto"/>
          <w:kern w:val="2"/>
          <w:sz w:val="32"/>
          <w:szCs w:val="32"/>
        </w:rPr>
        <w:t>改造后治理对象(污染物)排放浓度低于</w:t>
      </w:r>
      <w:r>
        <w:rPr>
          <w:rFonts w:hint="eastAsia" w:ascii="仿宋" w:hAnsi="仿宋" w:eastAsia="仿宋" w:cs="仿宋"/>
          <w:snapToGrid w:val="0"/>
          <w:color w:val="auto"/>
          <w:kern w:val="2"/>
          <w:sz w:val="32"/>
          <w:szCs w:val="32"/>
        </w:rPr>
        <w:t>地方</w:t>
      </w:r>
      <w:r>
        <w:rPr>
          <w:rFonts w:ascii="仿宋" w:hAnsi="仿宋" w:eastAsia="仿宋" w:cs="仿宋"/>
          <w:snapToGrid w:val="0"/>
          <w:color w:val="auto"/>
          <w:kern w:val="2"/>
          <w:sz w:val="32"/>
          <w:szCs w:val="32"/>
        </w:rPr>
        <w:t>现行环保标准限值的</w:t>
      </w:r>
      <w:r>
        <w:rPr>
          <w:rFonts w:hint="eastAsia" w:ascii="仿宋" w:hAnsi="仿宋" w:eastAsia="仿宋" w:cs="仿宋"/>
          <w:snapToGrid w:val="0"/>
          <w:color w:val="auto"/>
          <w:kern w:val="2"/>
          <w:sz w:val="32"/>
          <w:szCs w:val="32"/>
          <w:lang w:val="en-US" w:eastAsia="zh-CN"/>
        </w:rPr>
        <w:t>80</w:t>
      </w:r>
      <w:r>
        <w:rPr>
          <w:rFonts w:ascii="仿宋" w:hAnsi="仿宋" w:eastAsia="仿宋" w:cs="仿宋"/>
          <w:snapToGrid w:val="0"/>
          <w:color w:val="auto"/>
          <w:kern w:val="2"/>
          <w:sz w:val="32"/>
          <w:szCs w:val="32"/>
        </w:rPr>
        <w:t>%但高于50%，且污染物去除效率大于20%，</w:t>
      </w:r>
      <w:r>
        <w:rPr>
          <w:rFonts w:hint="eastAsia" w:ascii="仿宋" w:hAnsi="仿宋" w:eastAsia="仿宋" w:cs="仿宋"/>
          <w:snapToGrid w:val="0"/>
          <w:color w:val="auto"/>
          <w:kern w:val="2"/>
          <w:sz w:val="32"/>
          <w:szCs w:val="32"/>
        </w:rPr>
        <w:t>总投资金额500万元（含）以下的，按总投资金额的15%给予资金奖励，最高奖励50万；总投资金额500万元以上的，按总投资金额的10%给予资金奖励，最高奖励100万。</w:t>
      </w:r>
    </w:p>
    <w:p>
      <w:pPr>
        <w:pStyle w:val="5"/>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474" w:firstLineChars="150"/>
        <w:jc w:val="both"/>
        <w:textAlignment w:val="auto"/>
        <w:rPr>
          <w:rFonts w:hint="eastAsia" w:ascii="仿宋" w:hAnsi="仿宋" w:eastAsia="仿宋" w:cs="仿宋"/>
          <w:snapToGrid w:val="0"/>
          <w:color w:val="auto"/>
          <w:kern w:val="2"/>
          <w:sz w:val="32"/>
          <w:szCs w:val="32"/>
        </w:rPr>
      </w:pPr>
      <w:r>
        <w:rPr>
          <w:rFonts w:hint="eastAsia" w:ascii="仿宋" w:hAnsi="仿宋" w:eastAsia="仿宋" w:cs="仿宋"/>
          <w:snapToGrid w:val="0"/>
          <w:color w:val="auto"/>
          <w:kern w:val="2"/>
          <w:sz w:val="32"/>
          <w:szCs w:val="32"/>
        </w:rPr>
        <w:t>企业对污染防治技术进行改造且稳定运营一年以上，按申报程序提交奖励申请后，由</w:t>
      </w:r>
      <w:r>
        <w:rPr>
          <w:rFonts w:hint="eastAsia" w:ascii="仿宋" w:hAnsi="仿宋" w:eastAsia="仿宋" w:cs="仿宋"/>
          <w:snapToGrid w:val="0"/>
          <w:color w:val="auto"/>
          <w:kern w:val="2"/>
          <w:sz w:val="32"/>
          <w:szCs w:val="32"/>
          <w:lang w:eastAsia="zh-CN"/>
        </w:rPr>
        <w:t>区环境保护局</w:t>
      </w:r>
      <w:r>
        <w:rPr>
          <w:rFonts w:hint="eastAsia" w:ascii="仿宋" w:hAnsi="仿宋" w:eastAsia="仿宋" w:cs="仿宋"/>
          <w:snapToGrid w:val="0"/>
          <w:color w:val="auto"/>
          <w:kern w:val="2"/>
          <w:sz w:val="32"/>
          <w:szCs w:val="32"/>
        </w:rPr>
        <w:t>组织专家对项目的环境效益、项目总投资金额等方面进行评审，择优奖励。</w:t>
      </w:r>
    </w:p>
    <w:p>
      <w:pPr>
        <w:pStyle w:val="14"/>
        <w:keepNext w:val="0"/>
        <w:keepLines w:val="0"/>
        <w:pageBreakBefore w:val="0"/>
        <w:widowControl w:val="0"/>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cs="仿宋_GB2312"/>
          <w:b/>
          <w:bCs/>
          <w:snapToGrid w:val="0"/>
          <w:color w:val="auto"/>
          <w:kern w:val="2"/>
          <w:lang w:eastAsia="zh-CN"/>
        </w:rPr>
      </w:pPr>
      <w:r>
        <w:rPr>
          <w:rFonts w:hint="eastAsia" w:ascii="仿宋" w:hAnsi="仿宋" w:eastAsia="仿宋" w:cs="仿宋_GB2312"/>
          <w:b/>
          <w:bCs/>
          <w:snapToGrid w:val="0"/>
          <w:color w:val="auto"/>
          <w:kern w:val="2"/>
          <w:lang w:eastAsia="zh-CN"/>
        </w:rPr>
        <w:t>解读：</w:t>
      </w:r>
    </w:p>
    <w:p>
      <w:pPr>
        <w:pStyle w:val="14"/>
        <w:keepNext w:val="0"/>
        <w:keepLines w:val="0"/>
        <w:pageBreakBefore w:val="0"/>
        <w:widowControl w:val="0"/>
        <w:numPr>
          <w:ilvl w:val="0"/>
          <w:numId w:val="3"/>
        </w:numPr>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snapToGrid w:val="0"/>
          <w:color w:val="auto"/>
          <w:spacing w:val="0"/>
          <w:kern w:val="2"/>
          <w:lang w:val="en-US" w:eastAsia="zh-CN"/>
        </w:rPr>
      </w:pPr>
      <w:r>
        <w:rPr>
          <w:rFonts w:hint="eastAsia" w:ascii="仿宋" w:hAnsi="仿宋" w:eastAsia="仿宋"/>
          <w:snapToGrid w:val="0"/>
          <w:color w:val="auto"/>
          <w:spacing w:val="0"/>
          <w:kern w:val="2"/>
          <w:lang w:val="en-US" w:eastAsia="zh-CN"/>
        </w:rPr>
        <w:t>“地方现行环保标准”是指改造项目建成时，该项目执行的地方环保标准。</w:t>
      </w:r>
    </w:p>
    <w:p>
      <w:pPr>
        <w:pStyle w:val="14"/>
        <w:keepNext w:val="0"/>
        <w:keepLines w:val="0"/>
        <w:pageBreakBefore w:val="0"/>
        <w:widowControl w:val="0"/>
        <w:numPr>
          <w:ilvl w:val="0"/>
          <w:numId w:val="3"/>
        </w:numPr>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snapToGrid w:val="0"/>
          <w:color w:val="auto"/>
          <w:spacing w:val="0"/>
          <w:kern w:val="2"/>
          <w:lang w:val="en-US" w:eastAsia="zh-CN"/>
        </w:rPr>
      </w:pPr>
      <w:r>
        <w:rPr>
          <w:rFonts w:hint="eastAsia" w:ascii="仿宋" w:hAnsi="仿宋" w:eastAsia="仿宋"/>
          <w:snapToGrid w:val="0"/>
          <w:color w:val="auto"/>
          <w:spacing w:val="0"/>
          <w:kern w:val="2"/>
          <w:lang w:val="en-US" w:eastAsia="zh-CN"/>
        </w:rPr>
        <w:t>改造项目污染物排放浓度必须同时符合环保标准限值和去除效率相关要求，方可申请奖励。</w:t>
      </w:r>
    </w:p>
    <w:p>
      <w:pPr>
        <w:pStyle w:val="14"/>
        <w:keepNext w:val="0"/>
        <w:keepLines w:val="0"/>
        <w:pageBreakBefore w:val="0"/>
        <w:widowControl w:val="0"/>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楷体" w:hAnsi="楷体" w:eastAsia="楷体" w:cs="楷体"/>
          <w:b/>
          <w:bCs/>
          <w:snapToGrid w:val="0"/>
          <w:color w:val="auto"/>
          <w:kern w:val="2"/>
          <w:lang w:eastAsia="zh-CN"/>
        </w:rPr>
      </w:pPr>
      <w:r>
        <w:rPr>
          <w:rFonts w:hint="eastAsia" w:ascii="楷体" w:hAnsi="楷体" w:eastAsia="楷体" w:cs="楷体"/>
          <w:b/>
          <w:bCs/>
          <w:snapToGrid w:val="0"/>
          <w:color w:val="auto"/>
          <w:kern w:val="2"/>
          <w:lang w:eastAsia="zh-CN"/>
        </w:rPr>
        <w:t>《办法》第九条</w:t>
      </w:r>
      <w:r>
        <w:rPr>
          <w:rFonts w:hint="eastAsia" w:ascii="楷体" w:hAnsi="楷体" w:eastAsia="楷体" w:cs="楷体"/>
          <w:b/>
          <w:bCs/>
          <w:snapToGrid w:val="0"/>
          <w:color w:val="auto"/>
          <w:kern w:val="2"/>
          <w:lang w:val="en-US" w:eastAsia="zh-CN"/>
        </w:rPr>
        <w:t xml:space="preserve"> </w:t>
      </w:r>
      <w:r>
        <w:rPr>
          <w:rFonts w:hint="eastAsia" w:ascii="楷体" w:hAnsi="楷体" w:eastAsia="楷体" w:cs="楷体"/>
          <w:b/>
          <w:bCs/>
          <w:snapToGrid w:val="0"/>
          <w:color w:val="auto"/>
          <w:kern w:val="2"/>
          <w:lang w:eastAsia="zh-CN"/>
        </w:rPr>
        <w:t>对</w:t>
      </w:r>
      <w:r>
        <w:rPr>
          <w:rFonts w:hint="eastAsia" w:ascii="楷体" w:hAnsi="楷体" w:eastAsia="楷体" w:cs="楷体"/>
          <w:b/>
          <w:bCs/>
          <w:snapToGrid w:val="0"/>
          <w:color w:val="auto"/>
          <w:kern w:val="2"/>
          <w:lang w:val="en-US" w:eastAsia="zh-CN"/>
        </w:rPr>
        <w:t>废水污染防治改造项目</w:t>
      </w:r>
      <w:r>
        <w:rPr>
          <w:rFonts w:hint="eastAsia" w:ascii="楷体" w:hAnsi="楷体" w:eastAsia="楷体" w:cs="楷体"/>
          <w:b/>
          <w:bCs/>
          <w:snapToGrid w:val="0"/>
          <w:color w:val="auto"/>
          <w:kern w:val="2"/>
          <w:lang w:eastAsia="zh-CN"/>
        </w:rPr>
        <w:t>的扶持和奖励</w:t>
      </w:r>
    </w:p>
    <w:p>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640" w:firstLineChars="0"/>
        <w:jc w:val="both"/>
        <w:textAlignment w:val="auto"/>
        <w:rPr>
          <w:rFonts w:hint="eastAsia" w:ascii="仿宋" w:hAnsi="仿宋" w:eastAsia="仿宋" w:cs="仿宋"/>
          <w:snapToGrid w:val="0"/>
          <w:color w:val="auto"/>
          <w:kern w:val="2"/>
          <w:sz w:val="32"/>
          <w:szCs w:val="32"/>
          <w:lang w:val="en-US" w:eastAsia="zh-CN"/>
        </w:rPr>
      </w:pPr>
      <w:r>
        <w:rPr>
          <w:rFonts w:hint="eastAsia" w:ascii="仿宋" w:hAnsi="仿宋" w:eastAsia="仿宋" w:cs="仿宋"/>
          <w:snapToGrid w:val="0"/>
          <w:color w:val="auto"/>
          <w:kern w:val="2"/>
          <w:sz w:val="32"/>
          <w:szCs w:val="32"/>
          <w:lang w:val="en-US" w:eastAsia="zh-CN"/>
        </w:rPr>
        <w:t>鼓励重点行业、重点排污企业提升废水处理工艺，提高废水防治水平，支持相关企业在污水回用、节水减排、提高废水处理效率等废水防治措施方面实施升级改造，可采用部分补助方式，项目补助金额不得高于实际投资金额的20%，</w:t>
      </w:r>
      <w:r>
        <w:rPr>
          <w:rFonts w:hint="eastAsia" w:ascii="仿宋" w:hAnsi="仿宋" w:eastAsia="仿宋" w:cs="仿宋"/>
          <w:snapToGrid w:val="0"/>
          <w:color w:val="auto"/>
          <w:kern w:val="2"/>
          <w:sz w:val="32"/>
          <w:szCs w:val="32"/>
          <w:lang w:eastAsia="zh-CN"/>
        </w:rPr>
        <w:t>每间企业每年最高补助</w:t>
      </w:r>
      <w:r>
        <w:rPr>
          <w:rFonts w:hint="eastAsia" w:ascii="仿宋" w:hAnsi="仿宋" w:eastAsia="仿宋" w:cs="仿宋"/>
          <w:snapToGrid w:val="0"/>
          <w:color w:val="auto"/>
          <w:kern w:val="2"/>
          <w:sz w:val="32"/>
          <w:szCs w:val="32"/>
          <w:lang w:val="en-US" w:eastAsia="zh-CN"/>
        </w:rPr>
        <w:t>200万元。</w:t>
      </w:r>
    </w:p>
    <w:p>
      <w:pPr>
        <w:pStyle w:val="14"/>
        <w:keepNext w:val="0"/>
        <w:keepLines w:val="0"/>
        <w:pageBreakBefore w:val="0"/>
        <w:widowControl w:val="0"/>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cs="仿宋_GB2312"/>
          <w:b/>
          <w:bCs/>
          <w:snapToGrid w:val="0"/>
          <w:color w:val="auto"/>
          <w:kern w:val="2"/>
          <w:lang w:eastAsia="zh-CN"/>
        </w:rPr>
      </w:pPr>
      <w:r>
        <w:rPr>
          <w:rFonts w:hint="eastAsia" w:ascii="仿宋" w:hAnsi="仿宋" w:eastAsia="仿宋" w:cs="仿宋_GB2312"/>
          <w:b/>
          <w:bCs/>
          <w:snapToGrid w:val="0"/>
          <w:color w:val="auto"/>
          <w:kern w:val="2"/>
          <w:lang w:eastAsia="zh-CN"/>
        </w:rPr>
        <w:t>解读：</w:t>
      </w:r>
    </w:p>
    <w:p>
      <w:pPr>
        <w:pStyle w:val="14"/>
        <w:keepNext w:val="0"/>
        <w:keepLines w:val="0"/>
        <w:pageBreakBefore w:val="0"/>
        <w:widowControl w:val="0"/>
        <w:numPr>
          <w:ilvl w:val="-1"/>
          <w:numId w:val="0"/>
        </w:numPr>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cs="仿宋_GB2312"/>
          <w:b w:val="0"/>
          <w:bCs w:val="0"/>
          <w:snapToGrid w:val="0"/>
          <w:color w:val="auto"/>
          <w:kern w:val="2"/>
          <w:lang w:eastAsia="zh-CN"/>
        </w:rPr>
      </w:pPr>
      <w:r>
        <w:rPr>
          <w:rFonts w:hint="eastAsia" w:ascii="仿宋" w:hAnsi="仿宋" w:eastAsia="仿宋" w:cs="仿宋_GB2312"/>
          <w:b w:val="0"/>
          <w:bCs w:val="0"/>
          <w:snapToGrid w:val="0"/>
          <w:color w:val="auto"/>
          <w:kern w:val="2"/>
          <w:lang w:val="en-US" w:eastAsia="zh-CN"/>
        </w:rPr>
        <w:t>申报项目原则上为本办法印发后建设完成的废水污染防治改造项目，企业可对建成的废水防治改造项目分别申领奖励补助，但每间企业每年最高补助200万元。</w:t>
      </w:r>
    </w:p>
    <w:p>
      <w:pPr>
        <w:pStyle w:val="14"/>
        <w:keepNext w:val="0"/>
        <w:keepLines w:val="0"/>
        <w:pageBreakBefore w:val="0"/>
        <w:widowControl w:val="0"/>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楷体" w:hAnsi="楷体" w:eastAsia="楷体" w:cs="楷体"/>
          <w:b/>
          <w:bCs/>
          <w:snapToGrid w:val="0"/>
          <w:color w:val="auto"/>
          <w:kern w:val="2"/>
        </w:rPr>
      </w:pPr>
      <w:r>
        <w:rPr>
          <w:rFonts w:hint="eastAsia" w:ascii="楷体" w:hAnsi="楷体" w:eastAsia="楷体" w:cs="楷体"/>
          <w:b/>
          <w:bCs/>
          <w:snapToGrid w:val="0"/>
          <w:color w:val="auto"/>
          <w:kern w:val="2"/>
          <w:lang w:eastAsia="zh-CN"/>
        </w:rPr>
        <w:t>《办法》第十条</w:t>
      </w:r>
      <w:r>
        <w:rPr>
          <w:rFonts w:hint="eastAsia" w:ascii="楷体" w:hAnsi="楷体" w:eastAsia="楷体" w:cs="楷体"/>
          <w:b/>
          <w:bCs/>
          <w:snapToGrid w:val="0"/>
          <w:color w:val="auto"/>
          <w:kern w:val="2"/>
          <w:lang w:val="en-US" w:eastAsia="zh-CN"/>
        </w:rPr>
        <w:t xml:space="preserve"> </w:t>
      </w:r>
      <w:r>
        <w:rPr>
          <w:rFonts w:hint="eastAsia" w:ascii="楷体" w:hAnsi="楷体" w:eastAsia="楷体" w:cs="楷体"/>
          <w:b/>
          <w:bCs/>
          <w:snapToGrid w:val="0"/>
          <w:color w:val="auto"/>
          <w:kern w:val="2"/>
        </w:rPr>
        <w:t>对污染物集中治理项目的扶持和奖励</w:t>
      </w:r>
    </w:p>
    <w:p>
      <w:pPr>
        <w:pStyle w:val="5"/>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474" w:firstLineChars="150"/>
        <w:jc w:val="both"/>
        <w:textAlignment w:val="auto"/>
        <w:rPr>
          <w:rFonts w:hint="eastAsia" w:ascii="楷体" w:hAnsi="楷体" w:eastAsia="楷体" w:cs="楷体"/>
          <w:snapToGrid w:val="0"/>
          <w:color w:val="auto"/>
          <w:kern w:val="2"/>
          <w:sz w:val="32"/>
          <w:szCs w:val="32"/>
        </w:rPr>
      </w:pPr>
      <w:r>
        <w:rPr>
          <w:rFonts w:hint="eastAsia" w:ascii="楷体" w:hAnsi="楷体" w:eastAsia="楷体" w:cs="楷体"/>
          <w:snapToGrid w:val="0"/>
          <w:color w:val="auto"/>
          <w:kern w:val="2"/>
          <w:sz w:val="32"/>
          <w:szCs w:val="32"/>
        </w:rPr>
        <w:t>（一）污染物集中治理项目建设补助</w:t>
      </w:r>
    </w:p>
    <w:p>
      <w:pPr>
        <w:pStyle w:val="5"/>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474" w:firstLineChars="150"/>
        <w:jc w:val="both"/>
        <w:textAlignment w:val="auto"/>
        <w:rPr>
          <w:rFonts w:hint="eastAsia" w:ascii="仿宋" w:hAnsi="仿宋" w:eastAsia="仿宋" w:cs="仿宋"/>
          <w:snapToGrid w:val="0"/>
          <w:color w:val="auto"/>
          <w:kern w:val="2"/>
          <w:sz w:val="32"/>
          <w:szCs w:val="32"/>
        </w:rPr>
      </w:pPr>
      <w:r>
        <w:rPr>
          <w:rFonts w:hint="eastAsia" w:ascii="仿宋" w:hAnsi="仿宋" w:eastAsia="仿宋" w:cs="仿宋"/>
          <w:snapToGrid w:val="0"/>
          <w:color w:val="auto"/>
          <w:kern w:val="2"/>
          <w:sz w:val="32"/>
          <w:szCs w:val="32"/>
        </w:rPr>
        <w:t>企业</w:t>
      </w:r>
      <w:r>
        <w:rPr>
          <w:rFonts w:hint="eastAsia" w:ascii="仿宋" w:hAnsi="仿宋" w:eastAsia="仿宋" w:cs="仿宋"/>
          <w:snapToGrid w:val="0"/>
          <w:color w:val="auto"/>
          <w:kern w:val="2"/>
          <w:sz w:val="32"/>
          <w:szCs w:val="32"/>
          <w:lang w:eastAsia="zh-CN"/>
        </w:rPr>
        <w:t>或第三方社会组织</w:t>
      </w:r>
      <w:r>
        <w:rPr>
          <w:rFonts w:hint="eastAsia" w:ascii="仿宋" w:hAnsi="仿宋" w:eastAsia="仿宋" w:cs="仿宋"/>
          <w:snapToGrid w:val="0"/>
          <w:color w:val="auto"/>
          <w:kern w:val="2"/>
          <w:sz w:val="32"/>
          <w:szCs w:val="32"/>
        </w:rPr>
        <w:t>投资建设污染物集中治理项目，与区内</w:t>
      </w:r>
      <w:r>
        <w:rPr>
          <w:rFonts w:hint="eastAsia" w:ascii="仿宋" w:hAnsi="仿宋" w:eastAsia="仿宋" w:cs="仿宋"/>
          <w:snapToGrid w:val="0"/>
          <w:color w:val="auto"/>
          <w:kern w:val="2"/>
          <w:sz w:val="32"/>
          <w:szCs w:val="32"/>
          <w:lang w:val="en-US" w:eastAsia="zh-CN"/>
        </w:rPr>
        <w:t>5</w:t>
      </w:r>
      <w:r>
        <w:rPr>
          <w:rFonts w:hint="eastAsia" w:ascii="仿宋" w:hAnsi="仿宋" w:eastAsia="仿宋" w:cs="仿宋"/>
          <w:snapToGrid w:val="0"/>
          <w:color w:val="auto"/>
          <w:kern w:val="2"/>
          <w:sz w:val="32"/>
          <w:szCs w:val="32"/>
        </w:rPr>
        <w:t>家及以上</w:t>
      </w:r>
      <w:r>
        <w:rPr>
          <w:rFonts w:hint="eastAsia" w:ascii="仿宋" w:hAnsi="仿宋" w:eastAsia="仿宋" w:cs="仿宋"/>
          <w:snapToGrid w:val="0"/>
          <w:color w:val="auto"/>
          <w:kern w:val="2"/>
          <w:sz w:val="32"/>
          <w:szCs w:val="32"/>
          <w:lang w:eastAsia="zh-CN"/>
        </w:rPr>
        <w:t>不同法人的</w:t>
      </w:r>
      <w:r>
        <w:rPr>
          <w:rFonts w:hint="eastAsia" w:ascii="仿宋" w:hAnsi="仿宋" w:eastAsia="仿宋" w:cs="仿宋"/>
          <w:snapToGrid w:val="0"/>
          <w:color w:val="auto"/>
          <w:kern w:val="2"/>
          <w:sz w:val="32"/>
          <w:szCs w:val="32"/>
        </w:rPr>
        <w:t>排污企业签订</w:t>
      </w:r>
      <w:r>
        <w:rPr>
          <w:rFonts w:hint="eastAsia" w:ascii="仿宋" w:hAnsi="仿宋" w:eastAsia="仿宋" w:cs="仿宋"/>
          <w:snapToGrid w:val="0"/>
          <w:color w:val="auto"/>
          <w:kern w:val="2"/>
          <w:sz w:val="32"/>
          <w:szCs w:val="32"/>
          <w:lang w:eastAsia="zh-CN"/>
        </w:rPr>
        <w:t>一年以上</w:t>
      </w:r>
      <w:r>
        <w:rPr>
          <w:rFonts w:hint="eastAsia" w:ascii="仿宋" w:hAnsi="仿宋" w:eastAsia="仿宋" w:cs="仿宋"/>
          <w:snapToGrid w:val="0"/>
          <w:color w:val="auto"/>
          <w:kern w:val="2"/>
          <w:sz w:val="32"/>
          <w:szCs w:val="32"/>
        </w:rPr>
        <w:t>污染治理服务合同，开展污染物集中治理，且污染物排放符合地方标准和总量控制要求的，按照项目建设费用的20%给予资金补助，最高补助100万。</w:t>
      </w:r>
    </w:p>
    <w:p>
      <w:pPr>
        <w:pStyle w:val="14"/>
        <w:keepNext w:val="0"/>
        <w:keepLines w:val="0"/>
        <w:pageBreakBefore w:val="0"/>
        <w:widowControl w:val="0"/>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cs="仿宋"/>
          <w:snapToGrid w:val="0"/>
          <w:color w:val="auto"/>
          <w:kern w:val="2"/>
          <w:sz w:val="32"/>
          <w:szCs w:val="32"/>
        </w:rPr>
      </w:pPr>
      <w:r>
        <w:rPr>
          <w:rFonts w:hint="eastAsia" w:ascii="仿宋" w:hAnsi="仿宋" w:eastAsia="仿宋" w:cs="仿宋"/>
          <w:snapToGrid w:val="0"/>
          <w:color w:val="auto"/>
          <w:kern w:val="2"/>
          <w:sz w:val="32"/>
          <w:szCs w:val="32"/>
        </w:rPr>
        <w:t>建设费用指污染物集中治理设施设计、采购及安装等费用，不包括项目土建及其他辅助设施建设费用等。</w:t>
      </w:r>
    </w:p>
    <w:p>
      <w:pPr>
        <w:pStyle w:val="14"/>
        <w:keepNext w:val="0"/>
        <w:keepLines w:val="0"/>
        <w:pageBreakBefore w:val="0"/>
        <w:widowControl w:val="0"/>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cs="仿宋_GB2312"/>
          <w:b/>
          <w:bCs/>
          <w:snapToGrid w:val="0"/>
          <w:color w:val="auto"/>
          <w:kern w:val="2"/>
          <w:lang w:eastAsia="zh-CN"/>
        </w:rPr>
      </w:pPr>
      <w:r>
        <w:rPr>
          <w:rFonts w:hint="eastAsia" w:ascii="仿宋" w:hAnsi="仿宋" w:eastAsia="仿宋" w:cs="仿宋_GB2312"/>
          <w:b/>
          <w:bCs/>
          <w:snapToGrid w:val="0"/>
          <w:color w:val="auto"/>
          <w:kern w:val="2"/>
          <w:lang w:eastAsia="zh-CN"/>
        </w:rPr>
        <w:t>解读：</w:t>
      </w:r>
    </w:p>
    <w:p>
      <w:pPr>
        <w:pStyle w:val="14"/>
        <w:keepNext w:val="0"/>
        <w:keepLines w:val="0"/>
        <w:pageBreakBefore w:val="0"/>
        <w:widowControl w:val="0"/>
        <w:numPr>
          <w:ilvl w:val="0"/>
          <w:numId w:val="4"/>
        </w:numPr>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left"/>
        <w:textAlignment w:val="auto"/>
        <w:outlineLvl w:val="9"/>
        <w:rPr>
          <w:rFonts w:hint="eastAsia" w:ascii="仿宋" w:hAnsi="仿宋" w:eastAsia="仿宋"/>
          <w:snapToGrid w:val="0"/>
          <w:color w:val="auto"/>
          <w:spacing w:val="0"/>
          <w:kern w:val="2"/>
          <w:lang w:val="en-US" w:eastAsia="zh-CN"/>
        </w:rPr>
      </w:pPr>
      <w:r>
        <w:rPr>
          <w:rFonts w:hint="eastAsia" w:ascii="仿宋" w:hAnsi="仿宋" w:eastAsia="仿宋"/>
          <w:snapToGrid w:val="0"/>
          <w:color w:val="auto"/>
          <w:spacing w:val="0"/>
          <w:kern w:val="2"/>
          <w:lang w:val="en-US" w:eastAsia="zh-CN"/>
        </w:rPr>
        <w:t>申报项目原则上为本办法印发后建设完成的污染物集中治理项目。</w:t>
      </w:r>
    </w:p>
    <w:p>
      <w:pPr>
        <w:pStyle w:val="14"/>
        <w:keepNext w:val="0"/>
        <w:keepLines w:val="0"/>
        <w:pageBreakBefore w:val="0"/>
        <w:widowControl w:val="0"/>
        <w:numPr>
          <w:ilvl w:val="0"/>
          <w:numId w:val="4"/>
        </w:numPr>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left"/>
        <w:textAlignment w:val="auto"/>
        <w:outlineLvl w:val="9"/>
        <w:rPr>
          <w:rFonts w:hint="eastAsia" w:ascii="仿宋" w:hAnsi="仿宋" w:eastAsia="仿宋"/>
          <w:snapToGrid w:val="0"/>
          <w:color w:val="auto"/>
          <w:spacing w:val="0"/>
          <w:kern w:val="2"/>
          <w:lang w:val="en-US" w:eastAsia="zh-CN"/>
        </w:rPr>
      </w:pPr>
      <w:r>
        <w:rPr>
          <w:rFonts w:hint="eastAsia" w:ascii="仿宋" w:hAnsi="仿宋" w:eastAsia="仿宋"/>
          <w:snapToGrid w:val="0"/>
          <w:color w:val="auto"/>
          <w:spacing w:val="0"/>
          <w:kern w:val="2"/>
          <w:lang w:val="en-US" w:eastAsia="zh-CN"/>
        </w:rPr>
        <w:t>相关污染物集中治理项目必须通过环评审批和环保验收，并与区内5家及以上不同法人的排污企业签订一年以上污染治理服务合同，且污染物排放符合地方标准和总量控制要求，按照项目建设费用（含污染物集中治理设施设计、采购及安装等费用，不包括项目土建及其他辅助设施建设费用等）的20%给予资金补助，最高补助100万。</w:t>
      </w:r>
    </w:p>
    <w:p>
      <w:pPr>
        <w:pStyle w:val="5"/>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474" w:firstLineChars="150"/>
        <w:jc w:val="both"/>
        <w:textAlignment w:val="auto"/>
        <w:rPr>
          <w:rFonts w:hint="eastAsia" w:ascii="楷体" w:hAnsi="楷体" w:eastAsia="楷体" w:cs="楷体"/>
          <w:snapToGrid w:val="0"/>
          <w:color w:val="auto"/>
          <w:kern w:val="2"/>
          <w:sz w:val="32"/>
          <w:szCs w:val="32"/>
        </w:rPr>
      </w:pPr>
      <w:r>
        <w:rPr>
          <w:rFonts w:hint="eastAsia" w:ascii="楷体" w:hAnsi="楷体" w:eastAsia="楷体" w:cs="楷体"/>
          <w:snapToGrid w:val="0"/>
          <w:color w:val="auto"/>
          <w:kern w:val="2"/>
          <w:sz w:val="32"/>
          <w:szCs w:val="32"/>
        </w:rPr>
        <w:t>（二）排污企业污染物集中治理补助</w:t>
      </w:r>
    </w:p>
    <w:p>
      <w:pPr>
        <w:pStyle w:val="5"/>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60" w:lineRule="exact"/>
        <w:ind w:right="0" w:rightChars="0" w:firstLine="632" w:firstLineChars="200"/>
        <w:jc w:val="both"/>
        <w:textAlignment w:val="auto"/>
        <w:rPr>
          <w:rFonts w:hint="eastAsia" w:ascii="仿宋" w:hAnsi="仿宋" w:eastAsia="仿宋" w:cs="仿宋"/>
          <w:snapToGrid w:val="0"/>
          <w:color w:val="auto"/>
          <w:kern w:val="2"/>
          <w:sz w:val="32"/>
          <w:szCs w:val="32"/>
        </w:rPr>
      </w:pPr>
      <w:r>
        <w:rPr>
          <w:rFonts w:hint="eastAsia" w:ascii="仿宋" w:hAnsi="仿宋" w:eastAsia="仿宋" w:cs="仿宋"/>
          <w:snapToGrid w:val="0"/>
          <w:color w:val="auto"/>
          <w:kern w:val="2"/>
          <w:sz w:val="32"/>
          <w:szCs w:val="32"/>
        </w:rPr>
        <w:t>排污企业主动与污染物集中治理项目运营企业签订污染治理服务合同，开展污染物第三方治理的，给予排污企业污染治理服务合同年度金额10%的资金补助，每份合同最高补助10万元，每间排污企业每年最高补助20万元。</w:t>
      </w:r>
    </w:p>
    <w:p>
      <w:pPr>
        <w:pStyle w:val="14"/>
        <w:keepNext w:val="0"/>
        <w:keepLines w:val="0"/>
        <w:pageBreakBefore w:val="0"/>
        <w:widowControl w:val="0"/>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cs="仿宋_GB2312"/>
          <w:b/>
          <w:bCs/>
          <w:snapToGrid w:val="0"/>
          <w:color w:val="auto"/>
          <w:kern w:val="2"/>
          <w:lang w:eastAsia="zh-CN"/>
        </w:rPr>
      </w:pPr>
      <w:r>
        <w:rPr>
          <w:rFonts w:hint="eastAsia" w:ascii="仿宋" w:hAnsi="仿宋" w:eastAsia="仿宋" w:cs="仿宋_GB2312"/>
          <w:b/>
          <w:bCs/>
          <w:snapToGrid w:val="0"/>
          <w:color w:val="auto"/>
          <w:kern w:val="2"/>
          <w:lang w:eastAsia="zh-CN"/>
        </w:rPr>
        <w:t>解读：</w:t>
      </w:r>
    </w:p>
    <w:p>
      <w:pPr>
        <w:pStyle w:val="14"/>
        <w:keepNext w:val="0"/>
        <w:keepLines w:val="0"/>
        <w:pageBreakBefore w:val="0"/>
        <w:widowControl w:val="0"/>
        <w:numPr>
          <w:ilvl w:val="0"/>
          <w:numId w:val="0"/>
        </w:numPr>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right="0" w:rightChars="0" w:firstLine="632" w:firstLineChars="200"/>
        <w:jc w:val="left"/>
        <w:textAlignment w:val="auto"/>
        <w:outlineLvl w:val="9"/>
        <w:rPr>
          <w:rFonts w:hint="eastAsia" w:ascii="仿宋" w:hAnsi="仿宋" w:eastAsia="仿宋" w:cs="仿宋"/>
          <w:snapToGrid w:val="0"/>
          <w:color w:val="auto"/>
          <w:kern w:val="2"/>
          <w:sz w:val="32"/>
          <w:szCs w:val="32"/>
          <w:lang w:eastAsia="zh-CN"/>
        </w:rPr>
      </w:pPr>
      <w:r>
        <w:rPr>
          <w:rFonts w:hint="eastAsia" w:ascii="仿宋" w:hAnsi="仿宋" w:eastAsia="仿宋" w:cs="仿宋"/>
          <w:snapToGrid w:val="0"/>
          <w:color w:val="auto"/>
          <w:kern w:val="2"/>
          <w:sz w:val="32"/>
          <w:szCs w:val="32"/>
          <w:lang w:eastAsia="zh-CN"/>
        </w:rPr>
        <w:t>1、“第三方治理”是指</w:t>
      </w:r>
      <w:r>
        <w:rPr>
          <w:rFonts w:hint="eastAsia" w:ascii="仿宋" w:hAnsi="仿宋" w:eastAsia="仿宋" w:cs="仿宋"/>
          <w:snapToGrid w:val="0"/>
          <w:color w:val="auto"/>
          <w:kern w:val="2"/>
          <w:sz w:val="32"/>
          <w:szCs w:val="32"/>
          <w:highlight w:val="none"/>
          <w:lang w:eastAsia="zh-CN"/>
        </w:rPr>
        <w:t>排污企业</w:t>
      </w:r>
      <w:r>
        <w:rPr>
          <w:rFonts w:hint="eastAsia" w:ascii="仿宋" w:hAnsi="仿宋" w:eastAsia="仿宋" w:cs="仿宋"/>
          <w:snapToGrid w:val="0"/>
          <w:color w:val="auto"/>
          <w:kern w:val="2"/>
          <w:sz w:val="32"/>
          <w:szCs w:val="32"/>
          <w:lang w:eastAsia="zh-CN"/>
        </w:rPr>
        <w:t>通过缴纳或按合同约定支付费用，委托污染物集中治理项目运营企业进行污染治理</w:t>
      </w:r>
      <w:r>
        <w:rPr>
          <w:rFonts w:hint="eastAsia" w:ascii="仿宋" w:hAnsi="仿宋" w:eastAsia="仿宋" w:cs="仿宋"/>
          <w:snapToGrid w:val="0"/>
          <w:color w:val="auto"/>
          <w:kern w:val="2"/>
          <w:sz w:val="32"/>
          <w:szCs w:val="32"/>
          <w:lang w:eastAsia="zh-CN"/>
        </w:rPr>
        <w:t>的项目。</w:t>
      </w:r>
    </w:p>
    <w:p>
      <w:pPr>
        <w:pStyle w:val="14"/>
        <w:keepNext w:val="0"/>
        <w:keepLines w:val="0"/>
        <w:pageBreakBefore w:val="0"/>
        <w:widowControl w:val="0"/>
        <w:numPr>
          <w:ilvl w:val="0"/>
          <w:numId w:val="0"/>
        </w:numPr>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val="0"/>
        <w:spacing w:line="360" w:lineRule="auto"/>
        <w:ind w:right="0" w:rightChars="0" w:firstLine="632" w:firstLineChars="200"/>
        <w:jc w:val="left"/>
        <w:textAlignment w:val="auto"/>
        <w:outlineLvl w:val="9"/>
        <w:rPr>
          <w:rFonts w:hint="eastAsia" w:ascii="仿宋" w:hAnsi="仿宋" w:eastAsia="仿宋" w:cs="仿宋"/>
          <w:snapToGrid w:val="0"/>
          <w:color w:val="auto"/>
          <w:kern w:val="2"/>
          <w:sz w:val="32"/>
          <w:szCs w:val="32"/>
          <w:lang w:val="en-US" w:eastAsia="zh-CN"/>
        </w:rPr>
      </w:pPr>
      <w:r>
        <w:rPr>
          <w:rFonts w:hint="eastAsia" w:ascii="仿宋" w:hAnsi="仿宋" w:eastAsia="仿宋" w:cs="仿宋"/>
          <w:snapToGrid w:val="0"/>
          <w:color w:val="auto"/>
          <w:kern w:val="2"/>
          <w:sz w:val="32"/>
          <w:szCs w:val="32"/>
          <w:lang w:val="en-US" w:eastAsia="zh-CN"/>
        </w:rPr>
        <w:t>2、企业可针对实际污染物（废水、废气、固废等）排放情况，选择一家或多家污染物集中治理项目运营企业开展污染物第三方治理，每份合同最高补助10万元，每间排污企业每年最高可申领补助20万元。</w:t>
      </w:r>
    </w:p>
    <w:p>
      <w:pPr>
        <w:pStyle w:val="14"/>
        <w:keepNext w:val="0"/>
        <w:keepLines w:val="0"/>
        <w:pageBreakBefore w:val="0"/>
        <w:widowControl w:val="0"/>
        <w:numPr>
          <w:ilvl w:val="0"/>
          <w:numId w:val="0"/>
        </w:numPr>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val="0"/>
        <w:spacing w:line="360" w:lineRule="auto"/>
        <w:ind w:right="0" w:rightChars="0" w:firstLine="632" w:firstLineChars="200"/>
        <w:jc w:val="left"/>
        <w:textAlignment w:val="auto"/>
        <w:outlineLvl w:val="9"/>
        <w:rPr>
          <w:rFonts w:hint="eastAsia" w:ascii="仿宋" w:hAnsi="仿宋" w:eastAsia="仿宋" w:cs="仿宋"/>
          <w:snapToGrid w:val="0"/>
          <w:color w:val="auto"/>
          <w:kern w:val="2"/>
          <w:sz w:val="32"/>
          <w:szCs w:val="32"/>
          <w:lang w:val="en-US" w:eastAsia="zh-CN"/>
        </w:rPr>
      </w:pPr>
      <w:r>
        <w:rPr>
          <w:rFonts w:hint="eastAsia" w:ascii="仿宋" w:hAnsi="仿宋" w:eastAsia="仿宋" w:cs="仿宋"/>
          <w:snapToGrid w:val="0"/>
          <w:color w:val="auto"/>
          <w:kern w:val="2"/>
          <w:sz w:val="32"/>
          <w:szCs w:val="32"/>
          <w:lang w:val="en-US" w:eastAsia="zh-CN"/>
        </w:rPr>
        <w:t>3、在本办法印发前已开展第三方集中治理的项目原则上不予以奖励，在本办法印发后首次与污染物集中治理项目运营企业签订污染治理服务合同，且合同服务期不少于1年的企业方可申请。</w:t>
      </w:r>
    </w:p>
    <w:p>
      <w:pPr>
        <w:pStyle w:val="5"/>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474" w:firstLineChars="150"/>
        <w:jc w:val="both"/>
        <w:textAlignment w:val="auto"/>
        <w:rPr>
          <w:rFonts w:hint="eastAsia" w:ascii="楷体" w:hAnsi="楷体" w:eastAsia="楷体" w:cs="楷体"/>
          <w:snapToGrid w:val="0"/>
          <w:color w:val="auto"/>
          <w:kern w:val="2"/>
          <w:sz w:val="32"/>
          <w:szCs w:val="32"/>
          <w:lang w:val="en-US" w:eastAsia="zh-CN"/>
        </w:rPr>
      </w:pPr>
      <w:r>
        <w:rPr>
          <w:rFonts w:hint="eastAsia" w:ascii="楷体" w:hAnsi="楷体" w:eastAsia="楷体" w:cs="楷体"/>
          <w:snapToGrid w:val="0"/>
          <w:color w:val="auto"/>
          <w:kern w:val="2"/>
          <w:sz w:val="32"/>
          <w:szCs w:val="32"/>
          <w:lang w:val="en-US" w:eastAsia="zh-CN"/>
        </w:rPr>
        <w:t>（三）重点排污企业污染物集中治理补助</w:t>
      </w:r>
    </w:p>
    <w:p>
      <w:pPr>
        <w:pStyle w:val="5"/>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60" w:lineRule="exact"/>
        <w:ind w:right="0" w:rightChars="0" w:firstLine="632" w:firstLineChars="200"/>
        <w:jc w:val="both"/>
        <w:textAlignment w:val="auto"/>
        <w:rPr>
          <w:rFonts w:hint="eastAsia" w:ascii="仿宋" w:hAnsi="仿宋" w:eastAsia="仿宋" w:cs="仿宋"/>
          <w:snapToGrid w:val="0"/>
          <w:color w:val="auto"/>
          <w:kern w:val="2"/>
          <w:sz w:val="32"/>
          <w:szCs w:val="32"/>
        </w:rPr>
      </w:pPr>
      <w:r>
        <w:rPr>
          <w:rFonts w:hint="eastAsia" w:ascii="仿宋" w:hAnsi="仿宋" w:eastAsia="仿宋" w:cs="仿宋"/>
          <w:snapToGrid w:val="0"/>
          <w:color w:val="auto"/>
          <w:kern w:val="2"/>
          <w:sz w:val="32"/>
          <w:szCs w:val="32"/>
          <w:lang w:val="en-US" w:eastAsia="zh-CN"/>
        </w:rPr>
        <w:t>鼓励重点区域、重点行业的重点排污企业</w:t>
      </w:r>
      <w:r>
        <w:rPr>
          <w:rFonts w:hint="eastAsia" w:ascii="仿宋" w:hAnsi="仿宋" w:eastAsia="仿宋" w:cs="仿宋"/>
          <w:snapToGrid w:val="0"/>
          <w:color w:val="auto"/>
          <w:kern w:val="2"/>
          <w:sz w:val="32"/>
          <w:szCs w:val="32"/>
        </w:rPr>
        <w:t>与污染物集中治理项目运营企业签订污染治理服务合同，开展污染物第三方治理</w:t>
      </w:r>
      <w:r>
        <w:rPr>
          <w:rFonts w:hint="eastAsia" w:ascii="仿宋" w:hAnsi="仿宋" w:eastAsia="仿宋" w:cs="仿宋"/>
          <w:snapToGrid w:val="0"/>
          <w:color w:val="auto"/>
          <w:kern w:val="2"/>
          <w:sz w:val="32"/>
          <w:szCs w:val="32"/>
          <w:lang w:eastAsia="zh-CN"/>
        </w:rPr>
        <w:t>。对纳入</w:t>
      </w:r>
      <w:r>
        <w:rPr>
          <w:rFonts w:hint="eastAsia" w:ascii="仿宋" w:hAnsi="仿宋" w:eastAsia="仿宋" w:cs="仿宋"/>
          <w:snapToGrid w:val="0"/>
          <w:color w:val="auto"/>
          <w:kern w:val="2"/>
          <w:sz w:val="32"/>
          <w:szCs w:val="32"/>
          <w:lang w:val="en-US" w:eastAsia="zh-CN"/>
        </w:rPr>
        <w:t>污染物集中治理补助的</w:t>
      </w:r>
      <w:r>
        <w:rPr>
          <w:rFonts w:hint="eastAsia" w:ascii="仿宋" w:hAnsi="仿宋" w:eastAsia="仿宋" w:cs="仿宋"/>
          <w:snapToGrid w:val="0"/>
          <w:color w:val="auto"/>
          <w:kern w:val="2"/>
          <w:sz w:val="32"/>
          <w:szCs w:val="32"/>
          <w:lang w:eastAsia="zh-CN"/>
        </w:rPr>
        <w:t>重点排污企业，适当提高资金补助比例和额度，每间重点排污企业每年最高补助</w:t>
      </w:r>
      <w:r>
        <w:rPr>
          <w:rFonts w:hint="eastAsia" w:ascii="仿宋" w:hAnsi="仿宋" w:eastAsia="仿宋" w:cs="仿宋"/>
          <w:snapToGrid w:val="0"/>
          <w:color w:val="auto"/>
          <w:kern w:val="2"/>
          <w:sz w:val="32"/>
          <w:szCs w:val="32"/>
          <w:lang w:val="en-US" w:eastAsia="zh-CN"/>
        </w:rPr>
        <w:t>200万元。</w:t>
      </w:r>
    </w:p>
    <w:p>
      <w:pPr>
        <w:pStyle w:val="14"/>
        <w:keepNext w:val="0"/>
        <w:keepLines w:val="0"/>
        <w:pageBreakBefore w:val="0"/>
        <w:widowControl w:val="0"/>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楷体" w:hAnsi="楷体" w:eastAsia="楷体" w:cs="楷体"/>
          <w:b/>
          <w:bCs/>
          <w:snapToGrid w:val="0"/>
          <w:color w:val="auto"/>
          <w:kern w:val="2"/>
          <w:lang w:eastAsia="zh-CN"/>
        </w:rPr>
      </w:pPr>
      <w:r>
        <w:rPr>
          <w:rFonts w:hint="eastAsia" w:ascii="楷体" w:hAnsi="楷体" w:eastAsia="楷体" w:cs="楷体"/>
          <w:b/>
          <w:bCs/>
          <w:snapToGrid w:val="0"/>
          <w:color w:val="auto"/>
          <w:kern w:val="2"/>
          <w:lang w:eastAsia="zh-CN"/>
        </w:rPr>
        <w:t>《办法》第十一条</w:t>
      </w:r>
      <w:r>
        <w:rPr>
          <w:rFonts w:hint="eastAsia" w:ascii="楷体" w:hAnsi="楷体" w:eastAsia="楷体" w:cs="楷体"/>
          <w:b/>
          <w:bCs/>
          <w:snapToGrid w:val="0"/>
          <w:color w:val="auto"/>
          <w:kern w:val="2"/>
          <w:lang w:val="en-US" w:eastAsia="zh-CN"/>
        </w:rPr>
        <w:t xml:space="preserve"> </w:t>
      </w:r>
      <w:r>
        <w:rPr>
          <w:rFonts w:hint="eastAsia" w:ascii="楷体" w:hAnsi="楷体" w:eastAsia="楷体" w:cs="楷体"/>
          <w:b/>
          <w:bCs/>
          <w:snapToGrid w:val="0"/>
          <w:color w:val="auto"/>
          <w:kern w:val="2"/>
          <w:lang w:eastAsia="zh-CN"/>
        </w:rPr>
        <w:t>对促进环境监管能力提升的项目的扶持和奖励</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企业研发有利于辅助环境监管、执法的智能化系统或设备，同时符合以下条件的，给予研发企业一次性30万元奖励。</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1</w:t>
      </w:r>
      <w:r>
        <w:rPr>
          <w:rFonts w:hint="eastAsia" w:cs="仿宋"/>
          <w:snapToGrid w:val="0"/>
          <w:color w:val="auto"/>
          <w:sz w:val="32"/>
          <w:szCs w:val="32"/>
          <w:lang w:eastAsia="zh-CN"/>
        </w:rPr>
        <w:t>．</w:t>
      </w:r>
      <w:r>
        <w:rPr>
          <w:rFonts w:hint="eastAsia" w:ascii="仿宋" w:hAnsi="仿宋" w:eastAsia="仿宋" w:cs="仿宋"/>
          <w:snapToGrid w:val="0"/>
          <w:color w:val="auto"/>
          <w:sz w:val="32"/>
          <w:szCs w:val="32"/>
        </w:rPr>
        <w:t>环境监管辅助系统或设备具有先进性，能利用大数据分析、在线监控数据分析等前沿技术，有效识别区域或污染企业规避监管的可疑排污行为，提供可靠的数据分析结果和建议。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2</w:t>
      </w:r>
      <w:r>
        <w:rPr>
          <w:rFonts w:hint="eastAsia" w:cs="仿宋"/>
          <w:snapToGrid w:val="0"/>
          <w:color w:val="auto"/>
          <w:sz w:val="32"/>
          <w:szCs w:val="32"/>
          <w:lang w:eastAsia="zh-CN"/>
        </w:rPr>
        <w:t>．</w:t>
      </w:r>
      <w:r>
        <w:rPr>
          <w:rFonts w:hint="eastAsia" w:ascii="仿宋" w:hAnsi="仿宋" w:eastAsia="仿宋" w:cs="仿宋"/>
          <w:snapToGrid w:val="0"/>
          <w:color w:val="auto"/>
          <w:sz w:val="32"/>
          <w:szCs w:val="32"/>
        </w:rPr>
        <w:t>环境监管辅助系统或设备具有推广性，技术成熟、应用广泛，与区内50家及以上企业签订服务合同，具有广阔发展应用前景。</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3</w:t>
      </w:r>
      <w:r>
        <w:rPr>
          <w:rFonts w:hint="eastAsia" w:cs="仿宋"/>
          <w:snapToGrid w:val="0"/>
          <w:color w:val="auto"/>
          <w:sz w:val="32"/>
          <w:szCs w:val="32"/>
          <w:lang w:eastAsia="zh-CN"/>
        </w:rPr>
        <w:t>．</w:t>
      </w:r>
      <w:r>
        <w:rPr>
          <w:rFonts w:hint="eastAsia" w:ascii="仿宋" w:hAnsi="仿宋" w:eastAsia="仿宋" w:cs="仿宋"/>
          <w:snapToGrid w:val="0"/>
          <w:color w:val="auto"/>
          <w:sz w:val="32"/>
          <w:szCs w:val="32"/>
        </w:rPr>
        <w:t>环境监管辅助系统或设备具有实用性，区内环保部门与研发企业签订不少于一年的服务合同，在服务期内，该系统或设备为环保部门推送的有效分析结果和建议不少于100条，能明显提高环境执法效率和污染事故应急处理能力，形成有力信息指导和决策支持，产生较大环境效益。</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企业按申报程序提交奖励申请后，由区环</w:t>
      </w:r>
      <w:r>
        <w:rPr>
          <w:rFonts w:hint="eastAsia" w:cs="仿宋"/>
          <w:snapToGrid w:val="0"/>
          <w:color w:val="auto"/>
          <w:sz w:val="32"/>
          <w:szCs w:val="32"/>
          <w:lang w:eastAsia="zh-CN"/>
        </w:rPr>
        <w:t>境</w:t>
      </w:r>
      <w:r>
        <w:rPr>
          <w:rFonts w:hint="eastAsia" w:ascii="仿宋" w:hAnsi="仿宋" w:eastAsia="仿宋" w:cs="仿宋"/>
          <w:snapToGrid w:val="0"/>
          <w:color w:val="auto"/>
          <w:sz w:val="32"/>
          <w:szCs w:val="32"/>
        </w:rPr>
        <w:t>保</w:t>
      </w:r>
      <w:r>
        <w:rPr>
          <w:rFonts w:hint="eastAsia" w:cs="仿宋"/>
          <w:snapToGrid w:val="0"/>
          <w:color w:val="auto"/>
          <w:sz w:val="32"/>
          <w:szCs w:val="32"/>
          <w:lang w:eastAsia="zh-CN"/>
        </w:rPr>
        <w:t>护</w:t>
      </w:r>
      <w:r>
        <w:rPr>
          <w:rFonts w:hint="eastAsia" w:ascii="仿宋" w:hAnsi="仿宋" w:eastAsia="仿宋" w:cs="仿宋"/>
          <w:snapToGrid w:val="0"/>
          <w:color w:val="auto"/>
          <w:sz w:val="32"/>
          <w:szCs w:val="32"/>
        </w:rPr>
        <w:t>局组织专家对项目的技术先进性、成熟性、实用性、环境效益等方面进行评审，择优奖励。</w:t>
      </w:r>
    </w:p>
    <w:p>
      <w:pPr>
        <w:pStyle w:val="14"/>
        <w:keepNext w:val="0"/>
        <w:keepLines w:val="0"/>
        <w:pageBreakBefore w:val="0"/>
        <w:widowControl w:val="0"/>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cs="仿宋_GB2312"/>
          <w:b/>
          <w:bCs/>
          <w:snapToGrid w:val="0"/>
          <w:color w:val="auto"/>
          <w:kern w:val="2"/>
          <w:lang w:eastAsia="zh-CN"/>
        </w:rPr>
      </w:pPr>
      <w:r>
        <w:rPr>
          <w:rFonts w:hint="eastAsia" w:ascii="仿宋" w:hAnsi="仿宋" w:eastAsia="仿宋" w:cs="仿宋_GB2312"/>
          <w:b/>
          <w:bCs/>
          <w:snapToGrid w:val="0"/>
          <w:color w:val="auto"/>
          <w:kern w:val="2"/>
          <w:lang w:eastAsia="zh-CN"/>
        </w:rPr>
        <w:t>解读：</w:t>
      </w:r>
    </w:p>
    <w:p>
      <w:pPr>
        <w:pStyle w:val="14"/>
        <w:keepNext w:val="0"/>
        <w:keepLines w:val="0"/>
        <w:pageBreakBefore w:val="0"/>
        <w:widowControl w:val="0"/>
        <w:numPr>
          <w:ilvl w:val="0"/>
          <w:numId w:val="0"/>
        </w:numPr>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right="0" w:rightChars="0" w:firstLine="632" w:firstLineChars="200"/>
        <w:jc w:val="left"/>
        <w:textAlignment w:val="auto"/>
        <w:outlineLvl w:val="9"/>
        <w:rPr>
          <w:rFonts w:hint="eastAsia" w:ascii="仿宋" w:hAnsi="仿宋" w:eastAsia="仿宋" w:cs="仿宋"/>
          <w:snapToGrid w:val="0"/>
          <w:color w:val="auto"/>
          <w:kern w:val="2"/>
          <w:sz w:val="32"/>
          <w:szCs w:val="32"/>
          <w:lang w:eastAsia="zh-CN"/>
        </w:rPr>
      </w:pPr>
      <w:r>
        <w:rPr>
          <w:rFonts w:hint="eastAsia" w:ascii="仿宋" w:hAnsi="仿宋" w:eastAsia="仿宋" w:cs="仿宋"/>
          <w:snapToGrid w:val="0"/>
          <w:color w:val="auto"/>
          <w:kern w:val="2"/>
          <w:sz w:val="32"/>
          <w:szCs w:val="32"/>
          <w:lang w:val="en-US" w:eastAsia="zh-CN"/>
        </w:rPr>
        <w:t>1、</w:t>
      </w:r>
      <w:r>
        <w:rPr>
          <w:rFonts w:hint="eastAsia" w:ascii="仿宋" w:hAnsi="仿宋" w:eastAsia="仿宋" w:cs="仿宋"/>
          <w:snapToGrid w:val="0"/>
          <w:color w:val="auto"/>
          <w:kern w:val="2"/>
          <w:sz w:val="32"/>
          <w:szCs w:val="32"/>
          <w:lang w:eastAsia="zh-CN"/>
        </w:rPr>
        <w:t>对促进环境监管能力提升项目的扶持和奖励须同时符合上述条件的，方可提交奖励申请，经专家评审通过后给予研发企业一次性30万元奖励。</w:t>
      </w:r>
    </w:p>
    <w:p>
      <w:pPr>
        <w:pStyle w:val="14"/>
        <w:keepNext w:val="0"/>
        <w:keepLines w:val="0"/>
        <w:pageBreakBefore w:val="0"/>
        <w:widowControl w:val="0"/>
        <w:numPr>
          <w:ilvl w:val="0"/>
          <w:numId w:val="0"/>
        </w:numPr>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right="0" w:rightChars="0" w:firstLine="632" w:firstLineChars="200"/>
        <w:jc w:val="left"/>
        <w:textAlignment w:val="auto"/>
        <w:outlineLvl w:val="9"/>
        <w:rPr>
          <w:rFonts w:hint="eastAsia" w:ascii="仿宋" w:hAnsi="仿宋" w:eastAsia="仿宋" w:cs="仿宋_GB2312"/>
          <w:b w:val="0"/>
          <w:bCs w:val="0"/>
          <w:snapToGrid w:val="0"/>
          <w:color w:val="auto"/>
          <w:kern w:val="2"/>
          <w:lang w:val="en-US" w:eastAsia="zh-CN"/>
        </w:rPr>
      </w:pPr>
      <w:r>
        <w:rPr>
          <w:rFonts w:hint="eastAsia" w:ascii="仿宋" w:hAnsi="仿宋" w:eastAsia="仿宋" w:cs="仿宋"/>
          <w:snapToGrid w:val="0"/>
          <w:color w:val="auto"/>
          <w:kern w:val="2"/>
          <w:sz w:val="32"/>
          <w:szCs w:val="32"/>
          <w:lang w:val="en-US" w:eastAsia="zh-CN"/>
        </w:rPr>
        <w:t>2、</w:t>
      </w:r>
      <w:r>
        <w:rPr>
          <w:rFonts w:hint="eastAsia" w:ascii="仿宋" w:hAnsi="仿宋" w:eastAsia="仿宋" w:cs="仿宋"/>
          <w:snapToGrid w:val="0"/>
          <w:color w:val="auto"/>
          <w:kern w:val="2"/>
          <w:sz w:val="32"/>
          <w:szCs w:val="32"/>
          <w:lang w:eastAsia="zh-CN"/>
        </w:rPr>
        <w:t>本办法出台之前完成的项目原则上不予以奖励，即在本办法出台后签订服务合同，且服务满一年才能申请。</w:t>
      </w:r>
    </w:p>
    <w:p>
      <w:pPr>
        <w:pStyle w:val="14"/>
        <w:keepNext w:val="0"/>
        <w:keepLines w:val="0"/>
        <w:pageBreakBefore w:val="0"/>
        <w:widowControl w:val="0"/>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楷体" w:hAnsi="楷体" w:eastAsia="楷体" w:cs="楷体"/>
          <w:b/>
          <w:bCs/>
          <w:snapToGrid w:val="0"/>
          <w:color w:val="auto"/>
          <w:kern w:val="2"/>
          <w:lang w:eastAsia="zh-CN"/>
        </w:rPr>
      </w:pPr>
      <w:r>
        <w:rPr>
          <w:rFonts w:hint="eastAsia" w:ascii="楷体" w:hAnsi="楷体" w:eastAsia="楷体" w:cs="楷体"/>
          <w:b/>
          <w:bCs/>
          <w:snapToGrid w:val="0"/>
          <w:color w:val="auto"/>
          <w:kern w:val="2"/>
          <w:lang w:eastAsia="zh-CN"/>
        </w:rPr>
        <w:t>《办法》第十二条</w:t>
      </w:r>
      <w:r>
        <w:rPr>
          <w:rFonts w:hint="eastAsia" w:ascii="楷体" w:hAnsi="楷体" w:eastAsia="楷体" w:cs="楷体"/>
          <w:b/>
          <w:bCs/>
          <w:snapToGrid w:val="0"/>
          <w:color w:val="auto"/>
          <w:kern w:val="2"/>
          <w:lang w:val="en-US" w:eastAsia="zh-CN"/>
        </w:rPr>
        <w:t xml:space="preserve"> </w:t>
      </w:r>
      <w:r>
        <w:rPr>
          <w:rFonts w:hint="eastAsia" w:ascii="楷体" w:hAnsi="楷体" w:eastAsia="楷体" w:cs="楷体"/>
          <w:b/>
          <w:bCs/>
          <w:snapToGrid w:val="0"/>
          <w:color w:val="auto"/>
          <w:kern w:val="2"/>
          <w:lang w:eastAsia="zh-CN"/>
        </w:rPr>
        <w:t>对促进环境管理提升的项目的扶持和奖励</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楷体" w:hAnsi="楷体" w:eastAsia="楷体" w:cs="楷体"/>
          <w:snapToGrid w:val="0"/>
          <w:color w:val="auto"/>
          <w:sz w:val="32"/>
          <w:szCs w:val="32"/>
        </w:rPr>
      </w:pPr>
      <w:r>
        <w:rPr>
          <w:rFonts w:hint="eastAsia" w:ascii="楷体" w:hAnsi="楷体" w:eastAsia="楷体" w:cs="楷体"/>
          <w:snapToGrid w:val="0"/>
          <w:color w:val="auto"/>
          <w:sz w:val="32"/>
          <w:szCs w:val="32"/>
        </w:rPr>
        <w:t>（一）村级工业园区管理机构建设奖励</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鼓励村居建立村级工业园区管理机构，聘请具有相关环保服务资质和能力的第三方机构提供园区环保管理服务，促进园区内企业规范环保管理，提高园区整体环保管理专业水平。园区管理机构达到以下要求的，从申报之年起，连续三年给予每年10万元资金奖励</w:t>
      </w:r>
      <w:r>
        <w:rPr>
          <w:rFonts w:hint="eastAsia" w:ascii="仿宋" w:hAnsi="仿宋" w:eastAsia="仿宋" w:cs="仿宋"/>
          <w:snapToGrid w:val="0"/>
          <w:color w:val="auto"/>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lang w:eastAsia="zh-CN"/>
        </w:rPr>
        <w:t>　　</w:t>
      </w:r>
      <w:r>
        <w:rPr>
          <w:rFonts w:hint="eastAsia" w:ascii="仿宋" w:hAnsi="仿宋" w:eastAsia="仿宋" w:cs="仿宋"/>
          <w:snapToGrid w:val="0"/>
          <w:color w:val="auto"/>
          <w:sz w:val="32"/>
          <w:szCs w:val="32"/>
          <w:lang w:val="en-US" w:eastAsia="zh-CN"/>
        </w:rPr>
        <w:t>1</w:t>
      </w:r>
      <w:r>
        <w:rPr>
          <w:rFonts w:hint="eastAsia" w:ascii="仿宋" w:hAnsi="仿宋" w:eastAsia="仿宋" w:cs="仿宋"/>
          <w:snapToGrid w:val="0"/>
          <w:color w:val="auto"/>
          <w:sz w:val="32"/>
          <w:szCs w:val="32"/>
          <w:lang w:eastAsia="zh-CN"/>
        </w:rPr>
        <w:t>．</w:t>
      </w:r>
      <w:r>
        <w:rPr>
          <w:rFonts w:hint="eastAsia" w:ascii="仿宋" w:hAnsi="仿宋" w:eastAsia="仿宋" w:cs="仿宋"/>
          <w:snapToGrid w:val="0"/>
          <w:color w:val="auto"/>
          <w:sz w:val="32"/>
          <w:szCs w:val="32"/>
        </w:rPr>
        <w:t>制定村级工业园区环境管理机构建设方案，科学设置机构人员组成及工作分工</w:t>
      </w:r>
      <w:r>
        <w:rPr>
          <w:rFonts w:hint="eastAsia" w:ascii="仿宋" w:hAnsi="仿宋" w:eastAsia="仿宋" w:cs="仿宋"/>
          <w:snapToGrid w:val="0"/>
          <w:color w:val="auto"/>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lang w:eastAsia="zh-CN"/>
        </w:rPr>
        <w:t>　　</w:t>
      </w:r>
      <w:r>
        <w:rPr>
          <w:rFonts w:hint="eastAsia" w:ascii="仿宋" w:hAnsi="仿宋" w:eastAsia="仿宋" w:cs="仿宋"/>
          <w:snapToGrid w:val="0"/>
          <w:color w:val="auto"/>
          <w:sz w:val="32"/>
          <w:szCs w:val="32"/>
          <w:lang w:val="en-US" w:eastAsia="zh-CN"/>
        </w:rPr>
        <w:t>2</w:t>
      </w:r>
      <w:r>
        <w:rPr>
          <w:rFonts w:hint="eastAsia" w:ascii="仿宋" w:hAnsi="仿宋" w:eastAsia="仿宋" w:cs="仿宋"/>
          <w:snapToGrid w:val="0"/>
          <w:color w:val="auto"/>
          <w:sz w:val="32"/>
          <w:szCs w:val="32"/>
          <w:lang w:eastAsia="zh-CN"/>
        </w:rPr>
        <w:t>．</w:t>
      </w:r>
      <w:r>
        <w:rPr>
          <w:rFonts w:hint="eastAsia" w:ascii="仿宋" w:hAnsi="仿宋" w:eastAsia="仿宋" w:cs="仿宋"/>
          <w:snapToGrid w:val="0"/>
          <w:color w:val="auto"/>
          <w:sz w:val="32"/>
          <w:szCs w:val="32"/>
        </w:rPr>
        <w:t>制定并严格落实规划环评、园区产业发展规划</w:t>
      </w:r>
      <w:r>
        <w:rPr>
          <w:rFonts w:hint="eastAsia" w:ascii="仿宋" w:hAnsi="仿宋" w:eastAsia="仿宋" w:cs="仿宋"/>
          <w:snapToGrid w:val="0"/>
          <w:color w:val="auto"/>
          <w:sz w:val="32"/>
          <w:szCs w:val="32"/>
          <w:lang w:eastAsia="zh-CN"/>
        </w:rPr>
        <w:t>；</w:t>
      </w:r>
    </w:p>
    <w:p>
      <w:pPr>
        <w:pStyle w:val="5"/>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60" w:lineRule="exact"/>
        <w:ind w:right="0" w:rightChars="0" w:firstLine="632" w:firstLineChars="200"/>
        <w:jc w:val="both"/>
        <w:textAlignment w:val="auto"/>
        <w:rPr>
          <w:rFonts w:hint="eastAsia" w:ascii="仿宋" w:hAnsi="仿宋" w:eastAsia="仿宋" w:cs="仿宋"/>
          <w:snapToGrid w:val="0"/>
          <w:color w:val="auto"/>
          <w:kern w:val="2"/>
          <w:sz w:val="32"/>
          <w:szCs w:val="32"/>
        </w:rPr>
      </w:pPr>
      <w:r>
        <w:rPr>
          <w:rFonts w:hint="eastAsia" w:ascii="仿宋" w:hAnsi="仿宋" w:eastAsia="仿宋" w:cs="仿宋"/>
          <w:snapToGrid w:val="0"/>
          <w:color w:val="auto"/>
          <w:kern w:val="2"/>
          <w:sz w:val="32"/>
          <w:szCs w:val="32"/>
        </w:rPr>
        <w:t>3</w:t>
      </w:r>
      <w:r>
        <w:rPr>
          <w:rFonts w:hint="eastAsia" w:ascii="仿宋" w:hAnsi="仿宋" w:eastAsia="仿宋" w:cs="仿宋"/>
          <w:snapToGrid w:val="0"/>
          <w:color w:val="auto"/>
          <w:kern w:val="2"/>
          <w:sz w:val="32"/>
          <w:szCs w:val="32"/>
          <w:lang w:eastAsia="zh-CN"/>
        </w:rPr>
        <w:t>．</w:t>
      </w:r>
      <w:r>
        <w:rPr>
          <w:rFonts w:hint="eastAsia" w:ascii="仿宋" w:hAnsi="仿宋" w:eastAsia="仿宋" w:cs="仿宋"/>
          <w:snapToGrid w:val="0"/>
          <w:color w:val="auto"/>
          <w:kern w:val="2"/>
          <w:sz w:val="32"/>
          <w:szCs w:val="32"/>
        </w:rPr>
        <w:t>组织加强园区基础设施建设</w:t>
      </w:r>
      <w:r>
        <w:rPr>
          <w:rFonts w:hint="eastAsia" w:ascii="仿宋" w:hAnsi="仿宋" w:eastAsia="仿宋" w:cs="仿宋"/>
          <w:snapToGrid w:val="0"/>
          <w:color w:val="auto"/>
          <w:kern w:val="2"/>
          <w:sz w:val="32"/>
          <w:szCs w:val="32"/>
          <w:lang w:eastAsia="zh-CN"/>
        </w:rPr>
        <w:t>；</w:t>
      </w:r>
    </w:p>
    <w:p>
      <w:pPr>
        <w:pStyle w:val="5"/>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60" w:lineRule="exact"/>
        <w:ind w:right="0" w:rightChars="0" w:firstLine="632" w:firstLineChars="200"/>
        <w:jc w:val="both"/>
        <w:textAlignment w:val="auto"/>
        <w:rPr>
          <w:rFonts w:hint="eastAsia" w:ascii="仿宋" w:hAnsi="仿宋" w:eastAsia="仿宋" w:cs="仿宋"/>
          <w:snapToGrid w:val="0"/>
          <w:color w:val="auto"/>
          <w:kern w:val="2"/>
          <w:sz w:val="32"/>
          <w:szCs w:val="32"/>
        </w:rPr>
      </w:pPr>
      <w:r>
        <w:rPr>
          <w:rFonts w:hint="eastAsia" w:ascii="仿宋" w:hAnsi="仿宋" w:eastAsia="仿宋" w:cs="仿宋"/>
          <w:snapToGrid w:val="0"/>
          <w:color w:val="auto"/>
          <w:kern w:val="2"/>
          <w:sz w:val="32"/>
          <w:szCs w:val="32"/>
        </w:rPr>
        <w:t>4</w:t>
      </w:r>
      <w:r>
        <w:rPr>
          <w:rFonts w:hint="eastAsia" w:ascii="仿宋" w:hAnsi="仿宋" w:eastAsia="仿宋" w:cs="仿宋"/>
          <w:snapToGrid w:val="0"/>
          <w:color w:val="auto"/>
          <w:kern w:val="2"/>
          <w:sz w:val="32"/>
          <w:szCs w:val="32"/>
          <w:lang w:eastAsia="zh-CN"/>
        </w:rPr>
        <w:t>．</w:t>
      </w:r>
      <w:r>
        <w:rPr>
          <w:rFonts w:hint="eastAsia" w:ascii="仿宋" w:hAnsi="仿宋" w:eastAsia="仿宋" w:cs="仿宋"/>
          <w:snapToGrid w:val="0"/>
          <w:color w:val="auto"/>
          <w:kern w:val="2"/>
          <w:sz w:val="32"/>
          <w:szCs w:val="32"/>
        </w:rPr>
        <w:t>制定并落实园区环保监督、问题上报制度</w:t>
      </w:r>
      <w:r>
        <w:rPr>
          <w:rFonts w:hint="eastAsia" w:ascii="仿宋" w:hAnsi="仿宋" w:eastAsia="仿宋" w:cs="仿宋"/>
          <w:snapToGrid w:val="0"/>
          <w:color w:val="auto"/>
          <w:kern w:val="2"/>
          <w:sz w:val="32"/>
          <w:szCs w:val="32"/>
          <w:lang w:eastAsia="zh-CN"/>
        </w:rPr>
        <w:t>；</w:t>
      </w:r>
    </w:p>
    <w:p>
      <w:pPr>
        <w:pStyle w:val="5"/>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60" w:lineRule="exact"/>
        <w:ind w:right="0" w:rightChars="0" w:firstLine="632" w:firstLineChars="200"/>
        <w:jc w:val="both"/>
        <w:textAlignment w:val="auto"/>
        <w:rPr>
          <w:rFonts w:hint="eastAsia" w:ascii="仿宋" w:hAnsi="仿宋" w:eastAsia="仿宋" w:cs="仿宋"/>
          <w:snapToGrid w:val="0"/>
          <w:color w:val="auto"/>
          <w:kern w:val="2"/>
          <w:sz w:val="32"/>
          <w:szCs w:val="32"/>
        </w:rPr>
      </w:pPr>
      <w:r>
        <w:rPr>
          <w:rFonts w:hint="eastAsia" w:ascii="仿宋" w:hAnsi="仿宋" w:eastAsia="仿宋" w:cs="仿宋"/>
          <w:snapToGrid w:val="0"/>
          <w:color w:val="auto"/>
          <w:kern w:val="2"/>
          <w:sz w:val="32"/>
          <w:szCs w:val="32"/>
        </w:rPr>
        <w:t>5</w:t>
      </w:r>
      <w:r>
        <w:rPr>
          <w:rFonts w:hint="eastAsia" w:ascii="仿宋" w:hAnsi="仿宋" w:eastAsia="仿宋" w:cs="仿宋"/>
          <w:snapToGrid w:val="0"/>
          <w:color w:val="auto"/>
          <w:kern w:val="2"/>
          <w:sz w:val="32"/>
          <w:szCs w:val="32"/>
          <w:lang w:eastAsia="zh-CN"/>
        </w:rPr>
        <w:t>．</w:t>
      </w:r>
      <w:r>
        <w:rPr>
          <w:rFonts w:hint="eastAsia" w:ascii="仿宋" w:hAnsi="仿宋" w:eastAsia="仿宋" w:cs="仿宋"/>
          <w:snapToGrid w:val="0"/>
          <w:color w:val="auto"/>
          <w:kern w:val="2"/>
          <w:sz w:val="32"/>
          <w:szCs w:val="32"/>
        </w:rPr>
        <w:t>实现园区内企业信息台账动态管理并落实环境信息公开</w:t>
      </w:r>
      <w:r>
        <w:rPr>
          <w:rFonts w:hint="eastAsia" w:ascii="仿宋" w:hAnsi="仿宋" w:eastAsia="仿宋" w:cs="仿宋"/>
          <w:snapToGrid w:val="0"/>
          <w:color w:val="auto"/>
          <w:kern w:val="2"/>
          <w:sz w:val="32"/>
          <w:szCs w:val="32"/>
          <w:lang w:eastAsia="zh-CN"/>
        </w:rPr>
        <w:t>。</w:t>
      </w:r>
    </w:p>
    <w:p>
      <w:pPr>
        <w:pStyle w:val="5"/>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60" w:lineRule="exact"/>
        <w:ind w:right="0" w:rightChars="0" w:firstLine="632" w:firstLineChars="200"/>
        <w:jc w:val="both"/>
        <w:textAlignment w:val="auto"/>
        <w:rPr>
          <w:rFonts w:hint="eastAsia" w:ascii="仿宋" w:hAnsi="仿宋" w:eastAsia="仿宋" w:cs="仿宋"/>
          <w:snapToGrid w:val="0"/>
          <w:color w:val="auto"/>
          <w:kern w:val="2"/>
          <w:sz w:val="32"/>
          <w:szCs w:val="32"/>
        </w:rPr>
      </w:pPr>
      <w:r>
        <w:rPr>
          <w:rFonts w:hint="eastAsia" w:ascii="仿宋" w:hAnsi="仿宋" w:eastAsia="仿宋" w:cs="仿宋"/>
          <w:snapToGrid w:val="0"/>
          <w:color w:val="auto"/>
          <w:kern w:val="2"/>
          <w:sz w:val="32"/>
          <w:szCs w:val="32"/>
        </w:rPr>
        <w:t>奖励资金逐年申报，申报之年起三年内任意一年未通过环保部门考核的，从当年起取消奖励资格并不再受理其奖励申请。</w:t>
      </w:r>
    </w:p>
    <w:p>
      <w:pPr>
        <w:pStyle w:val="14"/>
        <w:keepNext w:val="0"/>
        <w:keepLines w:val="0"/>
        <w:pageBreakBefore w:val="0"/>
        <w:widowControl w:val="0"/>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cs="仿宋_GB2312"/>
          <w:b/>
          <w:bCs/>
          <w:snapToGrid w:val="0"/>
          <w:color w:val="auto"/>
          <w:kern w:val="2"/>
          <w:lang w:eastAsia="zh-CN"/>
        </w:rPr>
      </w:pPr>
      <w:r>
        <w:rPr>
          <w:rFonts w:hint="eastAsia" w:ascii="仿宋" w:hAnsi="仿宋" w:eastAsia="仿宋" w:cs="仿宋_GB2312"/>
          <w:b/>
          <w:bCs/>
          <w:snapToGrid w:val="0"/>
          <w:color w:val="auto"/>
          <w:kern w:val="2"/>
          <w:lang w:eastAsia="zh-CN"/>
        </w:rPr>
        <w:t>解读：</w:t>
      </w:r>
    </w:p>
    <w:p>
      <w:pPr>
        <w:pStyle w:val="14"/>
        <w:keepNext w:val="0"/>
        <w:keepLines w:val="0"/>
        <w:pageBreakBefore w:val="0"/>
        <w:widowControl w:val="0"/>
        <w:numPr>
          <w:ilvl w:val="0"/>
          <w:numId w:val="0"/>
        </w:numPr>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right="0" w:rightChars="0" w:firstLine="632" w:firstLineChars="200"/>
        <w:jc w:val="left"/>
        <w:textAlignment w:val="auto"/>
        <w:outlineLvl w:val="9"/>
        <w:rPr>
          <w:rFonts w:hint="eastAsia" w:ascii="仿宋" w:hAnsi="仿宋" w:eastAsia="仿宋" w:cs="仿宋"/>
          <w:snapToGrid w:val="0"/>
          <w:color w:val="auto"/>
          <w:kern w:val="2"/>
          <w:sz w:val="32"/>
          <w:szCs w:val="32"/>
          <w:lang w:val="en-US" w:eastAsia="zh-CN"/>
        </w:rPr>
      </w:pPr>
      <w:r>
        <w:rPr>
          <w:rFonts w:hint="eastAsia" w:ascii="仿宋" w:hAnsi="仿宋" w:eastAsia="仿宋" w:cs="仿宋"/>
          <w:snapToGrid w:val="0"/>
          <w:color w:val="auto"/>
          <w:kern w:val="2"/>
          <w:sz w:val="32"/>
          <w:szCs w:val="32"/>
          <w:lang w:val="en-US" w:eastAsia="zh-CN"/>
        </w:rPr>
        <w:t>1、“村级工业园区”是指</w:t>
      </w:r>
      <w:r>
        <w:rPr>
          <w:rFonts w:hint="eastAsia" w:ascii="仿宋" w:hAnsi="仿宋" w:eastAsia="仿宋" w:cs="仿宋"/>
          <w:snapToGrid w:val="0"/>
          <w:color w:val="auto"/>
          <w:kern w:val="2"/>
          <w:sz w:val="32"/>
          <w:szCs w:val="32"/>
          <w:lang w:eastAsia="zh-CN"/>
        </w:rPr>
        <w:t>面积在2公顷或以上的成片集体工业用地，并在《佛山市人民政府关于印发佛山市村级工业园整治提升实施方案（2018—2020年）的通知》（佛府〔2018〕1号）</w:t>
      </w:r>
      <w:r>
        <w:rPr>
          <w:rFonts w:hint="eastAsia" w:ascii="仿宋" w:hAnsi="仿宋" w:eastAsia="仿宋" w:cs="仿宋"/>
          <w:snapToGrid w:val="0"/>
          <w:color w:val="auto"/>
          <w:kern w:val="2"/>
          <w:sz w:val="32"/>
          <w:szCs w:val="32"/>
          <w:lang w:val="en-US" w:eastAsia="zh-CN"/>
        </w:rPr>
        <w:t>名单中明确的村级工业园区</w:t>
      </w:r>
      <w:r>
        <w:rPr>
          <w:rFonts w:hint="eastAsia" w:ascii="仿宋" w:hAnsi="仿宋" w:eastAsia="仿宋" w:cs="仿宋"/>
          <w:snapToGrid w:val="0"/>
          <w:color w:val="auto"/>
          <w:kern w:val="2"/>
          <w:sz w:val="32"/>
          <w:szCs w:val="32"/>
          <w:lang w:eastAsia="zh-CN"/>
        </w:rPr>
        <w:t>。</w:t>
      </w:r>
    </w:p>
    <w:p>
      <w:pPr>
        <w:pStyle w:val="14"/>
        <w:keepNext w:val="0"/>
        <w:keepLines w:val="0"/>
        <w:pageBreakBefore w:val="0"/>
        <w:widowControl w:val="0"/>
        <w:numPr>
          <w:ilvl w:val="0"/>
          <w:numId w:val="0"/>
        </w:numPr>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right="0" w:rightChars="0" w:firstLine="632" w:firstLineChars="200"/>
        <w:jc w:val="left"/>
        <w:textAlignment w:val="auto"/>
        <w:outlineLvl w:val="9"/>
        <w:rPr>
          <w:rFonts w:hint="eastAsia" w:ascii="仿宋" w:hAnsi="仿宋" w:eastAsia="仿宋" w:cs="仿宋"/>
          <w:snapToGrid w:val="0"/>
          <w:color w:val="auto"/>
          <w:kern w:val="2"/>
          <w:sz w:val="32"/>
          <w:szCs w:val="32"/>
          <w:lang w:val="en-US" w:eastAsia="zh-CN"/>
        </w:rPr>
      </w:pPr>
      <w:r>
        <w:rPr>
          <w:rFonts w:hint="eastAsia" w:ascii="仿宋" w:hAnsi="仿宋" w:eastAsia="仿宋" w:cs="仿宋"/>
          <w:snapToGrid w:val="0"/>
          <w:color w:val="auto"/>
          <w:kern w:val="2"/>
          <w:sz w:val="32"/>
          <w:szCs w:val="32"/>
          <w:lang w:val="en-US" w:eastAsia="zh-CN"/>
        </w:rPr>
        <w:t>2、园区内企业信息台账需落实动态管理，至少每季度更新一次。</w:t>
      </w:r>
    </w:p>
    <w:p>
      <w:pPr>
        <w:pStyle w:val="14"/>
        <w:keepNext w:val="0"/>
        <w:keepLines w:val="0"/>
        <w:pageBreakBefore w:val="0"/>
        <w:widowControl w:val="0"/>
        <w:numPr>
          <w:ilvl w:val="0"/>
          <w:numId w:val="0"/>
        </w:numPr>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right="0" w:rightChars="0" w:firstLine="632" w:firstLineChars="200"/>
        <w:jc w:val="left"/>
        <w:textAlignment w:val="auto"/>
        <w:outlineLvl w:val="9"/>
        <w:rPr>
          <w:rFonts w:hint="eastAsia" w:ascii="仿宋" w:hAnsi="仿宋" w:eastAsia="仿宋" w:cs="仿宋"/>
          <w:snapToGrid w:val="0"/>
          <w:color w:val="auto"/>
          <w:kern w:val="2"/>
          <w:sz w:val="32"/>
          <w:szCs w:val="32"/>
          <w:lang w:val="en-US" w:eastAsia="zh-CN"/>
        </w:rPr>
      </w:pPr>
      <w:r>
        <w:rPr>
          <w:rFonts w:hint="eastAsia" w:ascii="仿宋" w:hAnsi="仿宋" w:eastAsia="仿宋" w:cs="仿宋"/>
          <w:snapToGrid w:val="0"/>
          <w:color w:val="auto"/>
          <w:kern w:val="2"/>
          <w:sz w:val="32"/>
          <w:szCs w:val="32"/>
          <w:lang w:val="en-US" w:eastAsia="zh-CN"/>
        </w:rPr>
        <w:t>3、</w:t>
      </w:r>
      <w:r>
        <w:rPr>
          <w:rFonts w:hint="eastAsia" w:ascii="仿宋" w:hAnsi="仿宋" w:eastAsia="仿宋" w:cs="仿宋"/>
          <w:snapToGrid w:val="0"/>
          <w:color w:val="auto"/>
          <w:kern w:val="2"/>
          <w:sz w:val="32"/>
          <w:szCs w:val="32"/>
          <w:lang w:eastAsia="zh-CN"/>
        </w:rPr>
        <w:t>奖励资金逐年申报，申报之年起三年内任意一年未通过环保部门考核的，从当年起取消奖励资格并不再受理其奖励申请。</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楷体" w:hAnsi="楷体" w:eastAsia="楷体" w:cs="楷体"/>
          <w:snapToGrid w:val="0"/>
          <w:color w:val="auto"/>
          <w:sz w:val="32"/>
          <w:szCs w:val="32"/>
        </w:rPr>
      </w:pPr>
      <w:r>
        <w:rPr>
          <w:rFonts w:hint="eastAsia" w:ascii="楷体" w:hAnsi="楷体" w:eastAsia="楷体" w:cs="楷体"/>
          <w:snapToGrid w:val="0"/>
          <w:color w:val="auto"/>
          <w:sz w:val="32"/>
          <w:szCs w:val="32"/>
        </w:rPr>
        <w:t>（二）环境管理相关研究奖励</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企事业单位、社会组织或个人主动开展环境管理工作相关研究及地方标准创建工作（政府委托项目除外），提交的研究报告或成果具有前瞻性、创新性，有较高理论水平和实用价值，为全区环境管理工作提出建设性意见，预期能取得一定环境效益的，给予一次性奖励3万元，每个申报企事业单位、社会组织或个人每年最高奖励6万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环境管理工作相关研究包括但不仅限于以下范围：环境（排污）现状调查；污染治理技术和措施的研究、分析、应用；行业（产业）现状分析与发展趋势研究；污染第三方治理发展研究；环境检测、监测行业发展分析等。</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企事业单位、社会组织或个人按申报程序提交奖励申请后，由</w:t>
      </w:r>
      <w:r>
        <w:rPr>
          <w:rFonts w:hint="eastAsia" w:cs="仿宋"/>
          <w:snapToGrid w:val="0"/>
          <w:color w:val="auto"/>
          <w:sz w:val="32"/>
          <w:szCs w:val="32"/>
          <w:lang w:eastAsia="zh-CN"/>
        </w:rPr>
        <w:t>区环境保护局</w:t>
      </w:r>
      <w:r>
        <w:rPr>
          <w:rFonts w:hint="eastAsia" w:ascii="仿宋" w:hAnsi="仿宋" w:eastAsia="仿宋" w:cs="仿宋"/>
          <w:snapToGrid w:val="0"/>
          <w:color w:val="auto"/>
          <w:sz w:val="32"/>
          <w:szCs w:val="32"/>
        </w:rPr>
        <w:t>组织专家对项目的前瞻性、创新性、理论实用性及预期环境效益等方面进行评审。</w:t>
      </w:r>
    </w:p>
    <w:p>
      <w:pPr>
        <w:pStyle w:val="14"/>
        <w:keepNext w:val="0"/>
        <w:keepLines w:val="0"/>
        <w:pageBreakBefore w:val="0"/>
        <w:widowControl w:val="0"/>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cs="仿宋_GB2312"/>
          <w:b/>
          <w:bCs/>
          <w:snapToGrid w:val="0"/>
          <w:color w:val="auto"/>
          <w:kern w:val="2"/>
          <w:lang w:eastAsia="zh-CN"/>
        </w:rPr>
      </w:pPr>
      <w:r>
        <w:rPr>
          <w:rFonts w:hint="eastAsia" w:ascii="仿宋" w:hAnsi="仿宋" w:eastAsia="仿宋" w:cs="仿宋_GB2312"/>
          <w:b/>
          <w:bCs/>
          <w:snapToGrid w:val="0"/>
          <w:color w:val="auto"/>
          <w:kern w:val="2"/>
          <w:lang w:eastAsia="zh-CN"/>
        </w:rPr>
        <w:t>解读：</w:t>
      </w:r>
    </w:p>
    <w:p>
      <w:pPr>
        <w:pStyle w:val="14"/>
        <w:keepNext w:val="0"/>
        <w:keepLines w:val="0"/>
        <w:pageBreakBefore w:val="0"/>
        <w:widowControl w:val="0"/>
        <w:numPr>
          <w:ilvl w:val="0"/>
          <w:numId w:val="5"/>
        </w:numPr>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cs="仿宋"/>
          <w:snapToGrid w:val="0"/>
          <w:color w:val="auto"/>
          <w:kern w:val="2"/>
          <w:sz w:val="32"/>
          <w:szCs w:val="32"/>
          <w:lang w:eastAsia="zh-CN"/>
        </w:rPr>
      </w:pPr>
      <w:r>
        <w:rPr>
          <w:rFonts w:hint="eastAsia" w:ascii="仿宋" w:hAnsi="仿宋" w:eastAsia="仿宋" w:cs="仿宋"/>
          <w:snapToGrid w:val="0"/>
          <w:color w:val="auto"/>
          <w:kern w:val="2"/>
          <w:sz w:val="32"/>
          <w:szCs w:val="32"/>
          <w:lang w:eastAsia="zh-CN"/>
        </w:rPr>
        <w:t>若多个机构或多人申报的项目为同一类型的，则按照先后顺序，对最先提交项目申请的机构或个人予以奖励。</w:t>
      </w:r>
    </w:p>
    <w:p>
      <w:pPr>
        <w:pStyle w:val="14"/>
        <w:keepNext w:val="0"/>
        <w:keepLines w:val="0"/>
        <w:pageBreakBefore w:val="0"/>
        <w:widowControl w:val="0"/>
        <w:numPr>
          <w:ilvl w:val="0"/>
          <w:numId w:val="0"/>
        </w:numPr>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right="0" w:rightChars="0" w:firstLine="632" w:firstLineChars="200"/>
        <w:jc w:val="left"/>
        <w:textAlignment w:val="auto"/>
        <w:outlineLvl w:val="9"/>
        <w:rPr>
          <w:rFonts w:hint="eastAsia" w:ascii="仿宋" w:hAnsi="仿宋" w:eastAsia="仿宋" w:cs="仿宋"/>
          <w:snapToGrid w:val="0"/>
          <w:color w:val="auto"/>
          <w:kern w:val="2"/>
          <w:sz w:val="32"/>
          <w:szCs w:val="32"/>
          <w:lang w:val="en-US" w:eastAsia="zh-CN"/>
        </w:rPr>
      </w:pPr>
      <w:r>
        <w:rPr>
          <w:rFonts w:hint="eastAsia" w:ascii="仿宋" w:hAnsi="仿宋" w:eastAsia="仿宋" w:cs="仿宋"/>
          <w:snapToGrid w:val="0"/>
          <w:color w:val="auto"/>
          <w:kern w:val="2"/>
          <w:sz w:val="32"/>
          <w:szCs w:val="32"/>
          <w:lang w:val="en-US" w:eastAsia="zh-CN"/>
        </w:rPr>
        <w:t>2、</w:t>
      </w:r>
      <w:r>
        <w:rPr>
          <w:rFonts w:hint="eastAsia" w:ascii="仿宋" w:hAnsi="仿宋" w:eastAsia="仿宋" w:cs="仿宋"/>
          <w:snapToGrid w:val="0"/>
          <w:color w:val="auto"/>
          <w:kern w:val="2"/>
          <w:sz w:val="32"/>
          <w:szCs w:val="32"/>
          <w:lang w:eastAsia="zh-CN"/>
        </w:rPr>
        <w:t>本办法出台之前完成的项目原则上不予以奖励，即在本办法出台后发表研究报告或成果的才能申请。</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楷体" w:hAnsi="楷体" w:eastAsia="楷体" w:cs="楷体"/>
          <w:snapToGrid w:val="0"/>
          <w:color w:val="auto"/>
          <w:sz w:val="32"/>
          <w:szCs w:val="32"/>
        </w:rPr>
      </w:pPr>
      <w:r>
        <w:rPr>
          <w:rFonts w:hint="eastAsia" w:ascii="楷体" w:hAnsi="楷体" w:eastAsia="楷体" w:cs="楷体"/>
          <w:snapToGrid w:val="0"/>
          <w:color w:val="auto"/>
          <w:sz w:val="32"/>
          <w:szCs w:val="32"/>
        </w:rPr>
        <w:t>（三）环境责任保险购买补助</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对主动购买环境责任保险，强化环境污染事故风险防范能力和风险管理水平，保障自身及其从业人员合法权益的排污企业，每年按保费的30%给予资金补贴，每年最高补助额度不超过20万元。</w:t>
      </w:r>
    </w:p>
    <w:p>
      <w:pPr>
        <w:pStyle w:val="14"/>
        <w:keepNext w:val="0"/>
        <w:keepLines w:val="0"/>
        <w:pageBreakBefore w:val="0"/>
        <w:widowControl w:val="0"/>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cs="仿宋_GB2312"/>
          <w:b/>
          <w:bCs/>
          <w:snapToGrid w:val="0"/>
          <w:color w:val="auto"/>
          <w:kern w:val="2"/>
          <w:lang w:eastAsia="zh-CN"/>
        </w:rPr>
      </w:pPr>
      <w:r>
        <w:rPr>
          <w:rFonts w:hint="eastAsia" w:ascii="仿宋" w:hAnsi="仿宋" w:eastAsia="仿宋" w:cs="仿宋_GB2312"/>
          <w:b/>
          <w:bCs/>
          <w:snapToGrid w:val="0"/>
          <w:color w:val="auto"/>
          <w:kern w:val="2"/>
          <w:lang w:eastAsia="zh-CN"/>
        </w:rPr>
        <w:t>解读：</w:t>
      </w:r>
    </w:p>
    <w:p>
      <w:pPr>
        <w:pStyle w:val="14"/>
        <w:keepNext w:val="0"/>
        <w:keepLines w:val="0"/>
        <w:pageBreakBefore w:val="0"/>
        <w:widowControl w:val="0"/>
        <w:numPr>
          <w:ilvl w:val="0"/>
          <w:numId w:val="0"/>
        </w:numPr>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right="0" w:rightChars="0" w:firstLine="632" w:firstLineChars="200"/>
        <w:jc w:val="left"/>
        <w:textAlignment w:val="auto"/>
        <w:outlineLvl w:val="9"/>
        <w:rPr>
          <w:rFonts w:hint="eastAsia" w:ascii="仿宋" w:hAnsi="仿宋" w:eastAsia="仿宋" w:cs="仿宋"/>
          <w:snapToGrid w:val="0"/>
          <w:color w:val="auto"/>
          <w:kern w:val="2"/>
          <w:sz w:val="32"/>
          <w:szCs w:val="32"/>
          <w:lang w:val="en-US" w:eastAsia="zh-CN"/>
        </w:rPr>
      </w:pPr>
      <w:r>
        <w:rPr>
          <w:rFonts w:hint="eastAsia" w:ascii="仿宋" w:hAnsi="仿宋" w:eastAsia="仿宋" w:cs="仿宋"/>
          <w:snapToGrid w:val="0"/>
          <w:color w:val="auto"/>
          <w:kern w:val="2"/>
          <w:sz w:val="32"/>
          <w:szCs w:val="32"/>
          <w:lang w:val="en-US" w:eastAsia="zh-CN"/>
        </w:rPr>
        <w:t>对于环境责任保险购买时间的界定，要求保险合同为本办法印发后签订，保险期为一年及以上。</w:t>
      </w:r>
    </w:p>
    <w:p>
      <w:pPr>
        <w:pStyle w:val="14"/>
        <w:keepNext w:val="0"/>
        <w:keepLines w:val="0"/>
        <w:pageBreakBefore w:val="0"/>
        <w:widowControl w:val="0"/>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楷体" w:hAnsi="楷体" w:eastAsia="楷体" w:cs="楷体"/>
          <w:b/>
          <w:bCs/>
          <w:snapToGrid w:val="0"/>
          <w:color w:val="auto"/>
          <w:kern w:val="2"/>
          <w:lang w:eastAsia="zh-CN"/>
        </w:rPr>
      </w:pPr>
      <w:r>
        <w:rPr>
          <w:rFonts w:hint="eastAsia" w:ascii="楷体" w:hAnsi="楷体" w:eastAsia="楷体" w:cs="楷体"/>
          <w:b/>
          <w:bCs/>
          <w:snapToGrid w:val="0"/>
          <w:color w:val="auto"/>
          <w:kern w:val="2"/>
          <w:lang w:eastAsia="zh-CN"/>
        </w:rPr>
        <w:t>《办法》第十三条</w:t>
      </w:r>
      <w:r>
        <w:rPr>
          <w:rFonts w:hint="eastAsia" w:ascii="楷体" w:hAnsi="楷体" w:eastAsia="楷体" w:cs="楷体"/>
          <w:b/>
          <w:bCs/>
          <w:snapToGrid w:val="0"/>
          <w:color w:val="auto"/>
          <w:kern w:val="2"/>
          <w:lang w:val="en-US" w:eastAsia="zh-CN"/>
        </w:rPr>
        <w:t xml:space="preserve"> </w:t>
      </w:r>
      <w:r>
        <w:rPr>
          <w:rFonts w:hint="eastAsia" w:ascii="楷体" w:hAnsi="楷体" w:eastAsia="楷体" w:cs="楷体"/>
          <w:b/>
          <w:bCs/>
          <w:snapToGrid w:val="0"/>
          <w:color w:val="auto"/>
          <w:kern w:val="2"/>
          <w:lang w:eastAsia="zh-CN"/>
        </w:rPr>
        <w:t>对提高工业危险废物收集转运效率的项目的扶持和奖励</w:t>
      </w:r>
    </w:p>
    <w:p>
      <w:pPr>
        <w:pStyle w:val="5"/>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60" w:lineRule="exact"/>
        <w:ind w:right="0" w:rightChars="0" w:firstLine="632" w:firstLineChars="200"/>
        <w:jc w:val="both"/>
        <w:textAlignment w:val="auto"/>
        <w:rPr>
          <w:rFonts w:hint="eastAsia" w:ascii="楷体" w:hAnsi="楷体" w:eastAsia="楷体" w:cs="楷体"/>
          <w:b/>
          <w:bCs/>
          <w:snapToGrid w:val="0"/>
          <w:color w:val="auto"/>
          <w:kern w:val="2"/>
          <w:lang w:val="en-US" w:eastAsia="zh-CN"/>
        </w:rPr>
      </w:pPr>
      <w:r>
        <w:rPr>
          <w:rFonts w:hint="eastAsia" w:ascii="仿宋" w:hAnsi="仿宋" w:eastAsia="仿宋" w:cs="仿宋"/>
          <w:snapToGrid w:val="0"/>
          <w:color w:val="auto"/>
          <w:kern w:val="2"/>
          <w:sz w:val="32"/>
          <w:szCs w:val="32"/>
        </w:rPr>
        <w:t>产生危险废物的工业企业主动注册和使用广东省固体废物管理信息平台进行危险废物管理，并且与危险废物处置单位签订服务合同的，按照当年度广东省固体废物管理平台发生的危险废物转移量所需处置金额的20%给予补助，每个产废企业每年最高补助5万元。</w:t>
      </w:r>
    </w:p>
    <w:p>
      <w:pPr>
        <w:pStyle w:val="14"/>
        <w:keepNext w:val="0"/>
        <w:keepLines w:val="0"/>
        <w:pageBreakBefore w:val="0"/>
        <w:widowControl w:val="0"/>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cs="仿宋_GB2312"/>
          <w:b/>
          <w:bCs/>
          <w:snapToGrid w:val="0"/>
          <w:color w:val="auto"/>
          <w:kern w:val="2"/>
          <w:lang w:eastAsia="zh-CN"/>
        </w:rPr>
      </w:pPr>
      <w:r>
        <w:rPr>
          <w:rFonts w:hint="eastAsia" w:ascii="仿宋" w:hAnsi="仿宋" w:eastAsia="仿宋" w:cs="仿宋_GB2312"/>
          <w:b/>
          <w:bCs/>
          <w:snapToGrid w:val="0"/>
          <w:color w:val="auto"/>
          <w:kern w:val="2"/>
          <w:lang w:eastAsia="zh-CN"/>
        </w:rPr>
        <w:t>解读：</w:t>
      </w:r>
    </w:p>
    <w:p>
      <w:pPr>
        <w:pStyle w:val="14"/>
        <w:keepNext w:val="0"/>
        <w:keepLines w:val="0"/>
        <w:pageBreakBefore w:val="0"/>
        <w:widowControl w:val="0"/>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cs="仿宋_GB2312"/>
          <w:b w:val="0"/>
          <w:bCs w:val="0"/>
          <w:snapToGrid w:val="0"/>
          <w:color w:val="auto"/>
          <w:kern w:val="2"/>
          <w:lang w:val="en-US" w:eastAsia="zh-CN"/>
        </w:rPr>
      </w:pPr>
      <w:r>
        <w:rPr>
          <w:rFonts w:hint="eastAsia" w:ascii="仿宋" w:hAnsi="仿宋" w:eastAsia="仿宋" w:cs="仿宋_GB2312"/>
          <w:b w:val="0"/>
          <w:bCs w:val="0"/>
          <w:snapToGrid w:val="0"/>
          <w:color w:val="auto"/>
          <w:kern w:val="2"/>
          <w:lang w:val="en-US" w:eastAsia="zh-CN"/>
        </w:rPr>
        <w:t>1、奖励前提条件：工业企业必须在“</w:t>
      </w:r>
      <w:r>
        <w:rPr>
          <w:rFonts w:hint="eastAsia" w:ascii="仿宋" w:hAnsi="仿宋" w:eastAsia="仿宋" w:cs="仿宋_GB2312"/>
          <w:b w:val="0"/>
          <w:bCs w:val="0"/>
          <w:snapToGrid w:val="0"/>
          <w:color w:val="auto"/>
          <w:kern w:val="2"/>
          <w:lang w:eastAsia="zh-CN"/>
        </w:rPr>
        <w:t>广东省固体废物管理信息平台</w:t>
      </w:r>
      <w:r>
        <w:rPr>
          <w:rFonts w:hint="eastAsia" w:ascii="仿宋" w:hAnsi="仿宋" w:eastAsia="仿宋" w:cs="仿宋_GB2312"/>
          <w:b w:val="0"/>
          <w:bCs w:val="0"/>
          <w:snapToGrid w:val="0"/>
          <w:color w:val="auto"/>
          <w:kern w:val="2"/>
          <w:lang w:val="en-US" w:eastAsia="zh-CN"/>
        </w:rPr>
        <w:t>”（https://app.gdep.gov.cn/gdgfqy/）完成注册、申报登记、管理计划备案、台账登记和转移联单管理工作。</w:t>
      </w:r>
    </w:p>
    <w:p>
      <w:pPr>
        <w:pStyle w:val="14"/>
        <w:keepNext w:val="0"/>
        <w:keepLines w:val="0"/>
        <w:pageBreakBefore w:val="0"/>
        <w:widowControl w:val="0"/>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val="0"/>
        <w:spacing w:line="360" w:lineRule="auto"/>
        <w:ind w:right="0" w:rightChars="0" w:firstLine="632" w:firstLineChars="200"/>
        <w:jc w:val="both"/>
        <w:textAlignment w:val="auto"/>
        <w:outlineLvl w:val="9"/>
        <w:rPr>
          <w:rFonts w:hint="eastAsia" w:ascii="仿宋" w:hAnsi="仿宋" w:eastAsia="仿宋" w:cs="仿宋_GB2312"/>
          <w:b w:val="0"/>
          <w:bCs w:val="0"/>
          <w:snapToGrid w:val="0"/>
          <w:color w:val="auto"/>
          <w:kern w:val="2"/>
          <w:lang w:val="en-US" w:eastAsia="zh-CN"/>
        </w:rPr>
      </w:pPr>
      <w:r>
        <w:rPr>
          <w:rFonts w:hint="eastAsia" w:ascii="仿宋" w:hAnsi="仿宋" w:eastAsia="仿宋" w:cs="仿宋_GB2312"/>
          <w:b w:val="0"/>
          <w:bCs w:val="0"/>
          <w:snapToGrid w:val="0"/>
          <w:color w:val="auto"/>
          <w:kern w:val="2"/>
          <w:lang w:val="en-US" w:eastAsia="zh-CN"/>
        </w:rPr>
        <w:t>2、奖励金额计算方式：企业</w:t>
      </w:r>
      <w:r>
        <w:rPr>
          <w:rFonts w:hint="eastAsia" w:ascii="仿宋" w:hAnsi="仿宋" w:eastAsia="仿宋" w:cs="仿宋_GB2312"/>
          <w:b w:val="0"/>
          <w:bCs w:val="0"/>
          <w:snapToGrid w:val="0"/>
          <w:color w:val="auto"/>
          <w:kern w:val="2"/>
          <w:lang w:eastAsia="zh-CN"/>
        </w:rPr>
        <w:t>与危险废物处置单位签订</w:t>
      </w:r>
      <w:r>
        <w:rPr>
          <w:rFonts w:hint="eastAsia" w:ascii="仿宋" w:hAnsi="仿宋" w:eastAsia="仿宋" w:cs="仿宋_GB2312"/>
          <w:b w:val="0"/>
          <w:bCs w:val="0"/>
          <w:snapToGrid w:val="0"/>
          <w:color w:val="auto"/>
          <w:kern w:val="2"/>
          <w:lang w:val="en-US" w:eastAsia="zh-CN"/>
        </w:rPr>
        <w:t>的</w:t>
      </w:r>
      <w:r>
        <w:rPr>
          <w:rFonts w:hint="eastAsia" w:ascii="仿宋" w:hAnsi="仿宋" w:eastAsia="仿宋" w:cs="仿宋_GB2312"/>
          <w:b w:val="0"/>
          <w:bCs w:val="0"/>
          <w:snapToGrid w:val="0"/>
          <w:color w:val="auto"/>
          <w:kern w:val="2"/>
          <w:lang w:eastAsia="zh-CN"/>
        </w:rPr>
        <w:t>服务合同</w:t>
      </w:r>
      <w:r>
        <w:rPr>
          <w:rFonts w:hint="eastAsia" w:ascii="仿宋" w:hAnsi="仿宋" w:eastAsia="仿宋" w:cs="仿宋_GB2312"/>
          <w:b w:val="0"/>
          <w:bCs w:val="0"/>
          <w:snapToGrid w:val="0"/>
          <w:color w:val="auto"/>
          <w:kern w:val="2"/>
          <w:lang w:val="en-US" w:eastAsia="zh-CN"/>
        </w:rPr>
        <w:t>上注明的各类危险废物处置单价×对应类别</w:t>
      </w:r>
      <w:r>
        <w:rPr>
          <w:rFonts w:hint="eastAsia" w:ascii="仿宋" w:hAnsi="仿宋" w:eastAsia="仿宋" w:cs="仿宋_GB2312"/>
          <w:b w:val="0"/>
          <w:bCs w:val="0"/>
          <w:snapToGrid w:val="0"/>
          <w:color w:val="auto"/>
          <w:kern w:val="2"/>
          <w:lang w:eastAsia="zh-CN"/>
        </w:rPr>
        <w:t>当年度广东省固体废物管理平台发生的危险废物转移量</w:t>
      </w:r>
      <w:r>
        <w:rPr>
          <w:rFonts w:hint="eastAsia" w:ascii="仿宋" w:hAnsi="仿宋" w:eastAsia="仿宋" w:cs="仿宋_GB2312"/>
          <w:b w:val="0"/>
          <w:bCs w:val="0"/>
          <w:snapToGrid w:val="0"/>
          <w:color w:val="auto"/>
          <w:kern w:val="2"/>
          <w:lang w:val="en-US" w:eastAsia="zh-CN"/>
        </w:rPr>
        <w:t>×</w:t>
      </w:r>
      <w:r>
        <w:rPr>
          <w:rFonts w:hint="eastAsia" w:ascii="仿宋" w:hAnsi="仿宋" w:eastAsia="仿宋" w:cs="仿宋_GB2312"/>
          <w:b w:val="0"/>
          <w:bCs w:val="0"/>
          <w:snapToGrid w:val="0"/>
          <w:color w:val="auto"/>
          <w:kern w:val="2"/>
          <w:lang w:eastAsia="zh-CN"/>
        </w:rPr>
        <w:t>20%</w:t>
      </w:r>
      <w:r>
        <w:rPr>
          <w:rFonts w:hint="eastAsia" w:ascii="仿宋" w:hAnsi="仿宋" w:eastAsia="仿宋" w:cs="仿宋_GB2312"/>
          <w:b w:val="0"/>
          <w:bCs w:val="0"/>
          <w:snapToGrid w:val="0"/>
          <w:color w:val="auto"/>
          <w:kern w:val="2"/>
          <w:lang w:val="en-US" w:eastAsia="zh-CN"/>
        </w:rPr>
        <w:t>。</w:t>
      </w:r>
      <w:r>
        <w:rPr>
          <w:rFonts w:hint="eastAsia" w:ascii="仿宋" w:hAnsi="仿宋" w:eastAsia="仿宋" w:cs="仿宋_GB2312"/>
          <w:b w:val="0"/>
          <w:bCs w:val="0"/>
          <w:snapToGrid w:val="0"/>
          <w:color w:val="auto"/>
          <w:kern w:val="2"/>
          <w:lang w:val="en-US" w:eastAsia="zh-CN"/>
        </w:rPr>
        <w:t>（若企业与危险废物处置单位签订的服务合同上未注明各类危险废物的处置单价的，需由处置单位出具补充说明（加盖公章），与企业提供的发票互相佐证。）</w:t>
      </w:r>
    </w:p>
    <w:p>
      <w:pPr>
        <w:pStyle w:val="14"/>
        <w:keepNext w:val="0"/>
        <w:keepLines w:val="0"/>
        <w:pageBreakBefore w:val="0"/>
        <w:widowControl w:val="0"/>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cs="仿宋_GB2312"/>
          <w:b w:val="0"/>
          <w:bCs w:val="0"/>
          <w:snapToGrid w:val="0"/>
          <w:color w:val="auto"/>
          <w:kern w:val="2"/>
          <w:lang w:eastAsia="zh-CN"/>
        </w:rPr>
      </w:pPr>
      <w:r>
        <w:rPr>
          <w:rFonts w:hint="eastAsia" w:ascii="仿宋" w:hAnsi="仿宋" w:eastAsia="仿宋" w:cs="仿宋_GB2312"/>
          <w:b w:val="0"/>
          <w:bCs w:val="0"/>
          <w:snapToGrid w:val="0"/>
          <w:color w:val="auto"/>
          <w:kern w:val="2"/>
          <w:lang w:val="en-US" w:eastAsia="zh-CN"/>
        </w:rPr>
        <w:t>3、申请时限要求：</w:t>
      </w:r>
      <w:r>
        <w:rPr>
          <w:rFonts w:hint="eastAsia" w:ascii="仿宋" w:hAnsi="仿宋" w:eastAsia="仿宋" w:cs="仿宋_GB2312"/>
          <w:b w:val="0"/>
          <w:bCs w:val="0"/>
          <w:snapToGrid w:val="0"/>
          <w:color w:val="auto"/>
          <w:kern w:val="2"/>
          <w:lang w:eastAsia="zh-CN"/>
        </w:rPr>
        <w:t>本办法出台之前完成的</w:t>
      </w:r>
      <w:r>
        <w:rPr>
          <w:rFonts w:hint="eastAsia" w:ascii="仿宋" w:hAnsi="仿宋" w:eastAsia="仿宋" w:cs="仿宋_GB2312"/>
          <w:b w:val="0"/>
          <w:bCs w:val="0"/>
          <w:snapToGrid w:val="0"/>
          <w:color w:val="auto"/>
          <w:kern w:val="2"/>
          <w:lang w:val="en-US" w:eastAsia="zh-CN"/>
        </w:rPr>
        <w:t>危险废物转移</w:t>
      </w:r>
      <w:r>
        <w:rPr>
          <w:rFonts w:hint="eastAsia" w:ascii="仿宋" w:hAnsi="仿宋" w:eastAsia="仿宋" w:cs="仿宋_GB2312"/>
          <w:b w:val="0"/>
          <w:bCs w:val="0"/>
          <w:snapToGrid w:val="0"/>
          <w:color w:val="auto"/>
          <w:kern w:val="2"/>
          <w:lang w:eastAsia="zh-CN"/>
        </w:rPr>
        <w:t>不予以奖励。</w:t>
      </w:r>
    </w:p>
    <w:p>
      <w:pPr>
        <w:pStyle w:val="14"/>
        <w:keepNext w:val="0"/>
        <w:keepLines w:val="0"/>
        <w:pageBreakBefore w:val="0"/>
        <w:widowControl w:val="0"/>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val="0"/>
        <w:spacing w:line="360" w:lineRule="auto"/>
        <w:ind w:left="0" w:leftChars="0" w:right="0" w:rightChars="0" w:firstLine="632" w:firstLineChars="200"/>
        <w:jc w:val="both"/>
        <w:textAlignment w:val="auto"/>
        <w:outlineLvl w:val="9"/>
        <w:rPr>
          <w:rFonts w:hint="eastAsia" w:ascii="仿宋" w:hAnsi="仿宋" w:eastAsia="仿宋" w:cs="仿宋_GB2312"/>
          <w:b w:val="0"/>
          <w:bCs w:val="0"/>
          <w:snapToGrid w:val="0"/>
          <w:color w:val="auto"/>
          <w:kern w:val="2"/>
          <w:lang w:val="en-US" w:eastAsia="zh-CN"/>
        </w:rPr>
      </w:pPr>
      <w:r>
        <w:rPr>
          <w:rFonts w:hint="eastAsia" w:ascii="仿宋" w:hAnsi="仿宋" w:eastAsia="仿宋" w:cs="仿宋_GB2312"/>
          <w:b w:val="0"/>
          <w:bCs w:val="0"/>
          <w:snapToGrid w:val="0"/>
          <w:color w:val="auto"/>
          <w:kern w:val="2"/>
          <w:lang w:val="en-US" w:eastAsia="zh-CN"/>
        </w:rPr>
        <w:t>4、优先奖励条件：属于《佛山市南海区产业导向目录（2018年本）》中鼓励类的行业企业。</w:t>
      </w:r>
    </w:p>
    <w:p>
      <w:pPr>
        <w:pStyle w:val="14"/>
        <w:keepNext w:val="0"/>
        <w:keepLines w:val="0"/>
        <w:pageBreakBefore w:val="0"/>
        <w:widowControl w:val="0"/>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楷体" w:hAnsi="楷体" w:eastAsia="楷体" w:cs="楷体"/>
          <w:b/>
          <w:bCs/>
          <w:snapToGrid w:val="0"/>
          <w:color w:val="auto"/>
          <w:kern w:val="2"/>
          <w:lang w:eastAsia="zh-CN"/>
        </w:rPr>
      </w:pPr>
      <w:r>
        <w:rPr>
          <w:rFonts w:hint="eastAsia" w:ascii="楷体" w:hAnsi="楷体" w:eastAsia="楷体" w:cs="楷体"/>
          <w:b/>
          <w:bCs/>
          <w:snapToGrid w:val="0"/>
          <w:color w:val="auto"/>
          <w:kern w:val="2"/>
          <w:lang w:eastAsia="zh-CN"/>
        </w:rPr>
        <w:t>《办法》第十四条</w:t>
      </w:r>
      <w:r>
        <w:rPr>
          <w:rFonts w:hint="eastAsia" w:ascii="楷体" w:hAnsi="楷体" w:eastAsia="楷体" w:cs="楷体"/>
          <w:b/>
          <w:bCs/>
          <w:snapToGrid w:val="0"/>
          <w:color w:val="auto"/>
          <w:kern w:val="2"/>
          <w:lang w:val="en-US" w:eastAsia="zh-CN"/>
        </w:rPr>
        <w:t xml:space="preserve"> </w:t>
      </w:r>
      <w:r>
        <w:rPr>
          <w:rFonts w:hint="eastAsia" w:ascii="楷体" w:hAnsi="楷体" w:eastAsia="楷体" w:cs="楷体"/>
          <w:b/>
          <w:bCs/>
          <w:snapToGrid w:val="0"/>
          <w:color w:val="auto"/>
          <w:kern w:val="2"/>
          <w:lang w:eastAsia="zh-CN"/>
        </w:rPr>
        <w:t>对其它污染防治示范项目的扶持和奖励</w:t>
      </w:r>
    </w:p>
    <w:p>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Lines="0" w:beforeAutospacing="0" w:after="0" w:afterLines="0" w:afterAutospacing="0" w:line="560" w:lineRule="exact"/>
        <w:ind w:right="0" w:rightChars="0" w:firstLine="632" w:firstLineChars="200"/>
        <w:jc w:val="both"/>
        <w:textAlignment w:val="auto"/>
        <w:rPr>
          <w:rFonts w:hint="eastAsia" w:ascii="仿宋" w:hAnsi="仿宋" w:eastAsia="仿宋" w:cs="仿宋"/>
          <w:snapToGrid w:val="0"/>
          <w:color w:val="auto"/>
          <w:kern w:val="2"/>
          <w:sz w:val="32"/>
          <w:szCs w:val="32"/>
          <w:lang w:val="en-US" w:eastAsia="zh-CN"/>
        </w:rPr>
      </w:pPr>
      <w:r>
        <w:rPr>
          <w:rFonts w:hint="eastAsia" w:ascii="仿宋" w:hAnsi="仿宋" w:eastAsia="仿宋" w:cs="仿宋"/>
          <w:snapToGrid w:val="0"/>
          <w:color w:val="auto"/>
          <w:kern w:val="2"/>
          <w:sz w:val="32"/>
          <w:szCs w:val="32"/>
          <w:lang w:val="en-US" w:eastAsia="zh-CN"/>
        </w:rPr>
        <w:t>除</w:t>
      </w:r>
      <w:r>
        <w:rPr>
          <w:rStyle w:val="11"/>
          <w:rFonts w:hint="eastAsia" w:ascii="仿宋" w:hAnsi="仿宋" w:eastAsia="仿宋" w:cs="仿宋"/>
          <w:i w:val="0"/>
          <w:caps w:val="0"/>
          <w:snapToGrid w:val="0"/>
          <w:color w:val="auto"/>
          <w:spacing w:val="0"/>
          <w:kern w:val="2"/>
          <w:sz w:val="32"/>
          <w:szCs w:val="32"/>
          <w:shd w:val="clear" w:color="auto" w:fill="auto"/>
        </w:rPr>
        <w:t>前款</w:t>
      </w:r>
      <w:r>
        <w:rPr>
          <w:rFonts w:hint="eastAsia" w:ascii="仿宋" w:hAnsi="仿宋" w:eastAsia="仿宋" w:cs="仿宋"/>
          <w:i w:val="0"/>
          <w:caps w:val="0"/>
          <w:snapToGrid w:val="0"/>
          <w:color w:val="auto"/>
          <w:spacing w:val="0"/>
          <w:kern w:val="2"/>
          <w:sz w:val="32"/>
          <w:szCs w:val="32"/>
          <w:shd w:val="clear" w:color="auto" w:fill="auto"/>
        </w:rPr>
        <w:t>规定的</w:t>
      </w:r>
      <w:r>
        <w:rPr>
          <w:rStyle w:val="11"/>
          <w:rFonts w:hint="eastAsia" w:ascii="仿宋" w:hAnsi="仿宋" w:eastAsia="仿宋" w:cs="仿宋"/>
          <w:i w:val="0"/>
          <w:caps w:val="0"/>
          <w:snapToGrid w:val="0"/>
          <w:color w:val="auto"/>
          <w:spacing w:val="0"/>
          <w:kern w:val="2"/>
          <w:sz w:val="32"/>
          <w:szCs w:val="32"/>
          <w:shd w:val="clear" w:color="auto" w:fill="auto"/>
        </w:rPr>
        <w:t>奖励</w:t>
      </w:r>
      <w:r>
        <w:rPr>
          <w:rFonts w:hint="eastAsia" w:ascii="仿宋" w:hAnsi="仿宋" w:eastAsia="仿宋" w:cs="仿宋"/>
          <w:i w:val="0"/>
          <w:caps w:val="0"/>
          <w:snapToGrid w:val="0"/>
          <w:color w:val="auto"/>
          <w:spacing w:val="0"/>
          <w:kern w:val="2"/>
          <w:sz w:val="32"/>
          <w:szCs w:val="32"/>
          <w:shd w:val="clear" w:color="auto" w:fill="auto"/>
        </w:rPr>
        <w:t>项目</w:t>
      </w:r>
      <w:r>
        <w:rPr>
          <w:rFonts w:hint="eastAsia" w:ascii="仿宋" w:hAnsi="仿宋" w:eastAsia="仿宋" w:cs="仿宋"/>
          <w:i w:val="0"/>
          <w:caps w:val="0"/>
          <w:snapToGrid w:val="0"/>
          <w:color w:val="auto"/>
          <w:spacing w:val="0"/>
          <w:kern w:val="2"/>
          <w:sz w:val="32"/>
          <w:szCs w:val="32"/>
          <w:lang w:eastAsia="zh-CN"/>
        </w:rPr>
        <w:t>外</w:t>
      </w:r>
      <w:r>
        <w:rPr>
          <w:rFonts w:hint="eastAsia" w:ascii="仿宋" w:hAnsi="仿宋" w:eastAsia="仿宋" w:cs="仿宋"/>
          <w:snapToGrid w:val="0"/>
          <w:color w:val="auto"/>
          <w:kern w:val="2"/>
          <w:sz w:val="32"/>
          <w:szCs w:val="32"/>
          <w:lang w:val="en-US" w:eastAsia="zh-CN"/>
        </w:rPr>
        <w:t>，通过提高污染物防治水平，对在废气、废水、固体废物、土壤、重金属防治等方面具有推广示范作用的项目，可采用部分补助方式，</w:t>
      </w:r>
      <w:r>
        <w:rPr>
          <w:rFonts w:hint="eastAsia" w:ascii="仿宋" w:hAnsi="仿宋" w:eastAsia="仿宋" w:cs="仿宋"/>
          <w:snapToGrid w:val="0"/>
          <w:color w:val="auto"/>
          <w:kern w:val="2"/>
          <w:sz w:val="32"/>
          <w:szCs w:val="32"/>
          <w:lang w:eastAsia="zh-CN"/>
        </w:rPr>
        <w:t>每个项目每年最高补助</w:t>
      </w:r>
      <w:r>
        <w:rPr>
          <w:rFonts w:hint="eastAsia" w:ascii="仿宋" w:hAnsi="仿宋" w:eastAsia="仿宋" w:cs="仿宋"/>
          <w:snapToGrid w:val="0"/>
          <w:color w:val="auto"/>
          <w:kern w:val="2"/>
          <w:sz w:val="32"/>
          <w:szCs w:val="32"/>
          <w:lang w:val="en-US" w:eastAsia="zh-CN"/>
        </w:rPr>
        <w:t>200万元。</w:t>
      </w:r>
    </w:p>
    <w:p>
      <w:pPr>
        <w:pStyle w:val="14"/>
        <w:keepNext w:val="0"/>
        <w:keepLines w:val="0"/>
        <w:pageBreakBefore w:val="0"/>
        <w:widowControl w:val="0"/>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楷体" w:hAnsi="楷体" w:eastAsia="楷体" w:cs="楷体"/>
          <w:b/>
          <w:bCs/>
          <w:snapToGrid w:val="0"/>
          <w:color w:val="auto"/>
          <w:kern w:val="2"/>
          <w:lang w:eastAsia="zh-CN"/>
        </w:rPr>
      </w:pPr>
      <w:r>
        <w:rPr>
          <w:rFonts w:hint="eastAsia" w:ascii="楷体" w:hAnsi="楷体" w:eastAsia="楷体" w:cs="楷体"/>
          <w:b/>
          <w:bCs/>
          <w:snapToGrid w:val="0"/>
          <w:color w:val="auto"/>
          <w:kern w:val="2"/>
          <w:lang w:eastAsia="zh-CN"/>
        </w:rPr>
        <w:t>《办法》第十五条</w:t>
      </w:r>
      <w:r>
        <w:rPr>
          <w:rFonts w:hint="eastAsia" w:ascii="楷体" w:hAnsi="楷体" w:eastAsia="楷体" w:cs="楷体"/>
          <w:b/>
          <w:bCs/>
          <w:snapToGrid w:val="0"/>
          <w:color w:val="auto"/>
          <w:kern w:val="2"/>
          <w:lang w:val="en-US" w:eastAsia="zh-CN"/>
        </w:rPr>
        <w:t xml:space="preserve"> </w:t>
      </w:r>
      <w:r>
        <w:rPr>
          <w:rFonts w:hint="eastAsia" w:ascii="楷体" w:hAnsi="楷体" w:eastAsia="楷体" w:cs="楷体"/>
          <w:b/>
          <w:bCs/>
          <w:snapToGrid w:val="0"/>
          <w:color w:val="auto"/>
          <w:kern w:val="2"/>
          <w:lang w:eastAsia="zh-CN"/>
        </w:rPr>
        <w:t>对其他环境保护工作奖励</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黑体" w:hAnsi="黑体" w:eastAsia="黑体" w:cs="黑体"/>
          <w:bCs/>
          <w:snapToGrid w:val="0"/>
          <w:color w:val="auto"/>
          <w:spacing w:val="0"/>
          <w:kern w:val="2"/>
          <w:sz w:val="32"/>
          <w:szCs w:val="32"/>
          <w:lang w:eastAsia="zh-CN"/>
        </w:rPr>
      </w:pPr>
      <w:r>
        <w:rPr>
          <w:rFonts w:hint="eastAsia" w:ascii="仿宋" w:hAnsi="仿宋" w:eastAsia="仿宋" w:cs="仿宋"/>
          <w:snapToGrid w:val="0"/>
          <w:color w:val="auto"/>
          <w:sz w:val="32"/>
          <w:szCs w:val="32"/>
        </w:rPr>
        <w:t>对在保护和改善环境的其他工作中，作出实质性贡献，有效推动环境管理改革或环保事业发展的企事业单位、社会组织或个人给予奖励，并由区环境保护局根据实际情况另行制定实施细则。</w:t>
      </w:r>
    </w:p>
    <w:p>
      <w:pPr>
        <w:keepNext w:val="0"/>
        <w:keepLines w:val="0"/>
        <w:pageBreakBefore w:val="0"/>
        <w:widowControl w:val="0"/>
        <w:numPr>
          <w:ilvl w:val="0"/>
          <w:numId w:val="0"/>
        </w:numP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黑体" w:hAnsi="黑体" w:eastAsia="黑体" w:cs="黑体"/>
          <w:bCs/>
          <w:snapToGrid w:val="0"/>
          <w:color w:val="auto"/>
          <w:spacing w:val="0"/>
          <w:kern w:val="2"/>
          <w:sz w:val="32"/>
          <w:szCs w:val="32"/>
          <w:lang w:eastAsia="zh-CN"/>
        </w:rPr>
      </w:pPr>
      <w:r>
        <w:rPr>
          <w:rFonts w:hint="eastAsia" w:ascii="黑体" w:hAnsi="黑体" w:eastAsia="黑体" w:cs="黑体"/>
          <w:bCs/>
          <w:snapToGrid w:val="0"/>
          <w:color w:val="auto"/>
          <w:spacing w:val="0"/>
          <w:kern w:val="2"/>
          <w:sz w:val="32"/>
          <w:szCs w:val="32"/>
          <w:lang w:eastAsia="zh-CN"/>
        </w:rPr>
        <w:t>五、申报流程</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（一）申请。满足扶持奖励条件的企事业单位、社会组织或个人向所在镇（街道）环保部门提交申请材料；</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（二）初审。镇（街道）环保部门对材料的真实性和完备性进行审查并加具意见后，报</w:t>
      </w:r>
      <w:r>
        <w:rPr>
          <w:rFonts w:hint="eastAsia" w:cs="仿宋"/>
          <w:snapToGrid w:val="0"/>
          <w:color w:val="auto"/>
          <w:sz w:val="32"/>
          <w:szCs w:val="32"/>
          <w:lang w:eastAsia="zh-CN"/>
        </w:rPr>
        <w:t>区环境保护局</w:t>
      </w:r>
      <w:r>
        <w:rPr>
          <w:rFonts w:hint="eastAsia" w:ascii="仿宋" w:hAnsi="仿宋" w:eastAsia="仿宋" w:cs="仿宋"/>
          <w:snapToGrid w:val="0"/>
          <w:color w:val="auto"/>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（三）评审。区环境保护局组织对申请资料进行审核，并组织专家评审，必要时进行现场核查，提出评审意见；</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（四）公示。区环境保护局对通过审核的项目在本单位政务网进行公示，公示期为5个工作日。公示期间接到相关举报和质疑的，由</w:t>
      </w:r>
      <w:r>
        <w:rPr>
          <w:rFonts w:hint="eastAsia" w:cs="仿宋"/>
          <w:snapToGrid w:val="0"/>
          <w:color w:val="auto"/>
          <w:sz w:val="32"/>
          <w:szCs w:val="32"/>
          <w:lang w:eastAsia="zh-CN"/>
        </w:rPr>
        <w:t>区环境保护局</w:t>
      </w:r>
      <w:r>
        <w:rPr>
          <w:rFonts w:hint="eastAsia" w:ascii="仿宋" w:hAnsi="仿宋" w:eastAsia="仿宋" w:cs="仿宋"/>
          <w:snapToGrid w:val="0"/>
          <w:color w:val="auto"/>
          <w:sz w:val="32"/>
          <w:szCs w:val="32"/>
        </w:rPr>
        <w:t>负责调查、核实并处理；</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FangSong_GB2312"/>
          <w:b/>
          <w:bCs/>
          <w:snapToGrid w:val="0"/>
          <w:color w:val="auto"/>
          <w:kern w:val="2"/>
          <w:sz w:val="32"/>
          <w:szCs w:val="32"/>
          <w:lang w:val="en-US" w:eastAsia="zh-CN" w:bidi="ar-SA"/>
        </w:rPr>
      </w:pPr>
      <w:r>
        <w:rPr>
          <w:rFonts w:hint="eastAsia" w:ascii="仿宋" w:hAnsi="仿宋" w:eastAsia="仿宋" w:cs="仿宋"/>
          <w:snapToGrid w:val="0"/>
          <w:color w:val="auto"/>
          <w:sz w:val="32"/>
          <w:szCs w:val="32"/>
        </w:rPr>
        <w:t>（五）公布和奖励。公示无异议或者有异议但查明不实的项目，由区环境保护局统一报区政府批准后在本单位政务网进行公布，并根据区财政有关程序划拨奖励资金。</w:t>
      </w:r>
    </w:p>
    <w:p>
      <w:pPr>
        <w:pStyle w:val="14"/>
        <w:pBdr>
          <w:top w:val="none" w:color="000000" w:sz="0" w:space="0"/>
          <w:left w:val="none" w:color="000000" w:sz="0" w:space="0"/>
          <w:bottom w:val="none" w:color="000000" w:sz="0" w:space="0"/>
          <w:right w:val="none" w:color="000000" w:sz="0" w:space="0"/>
          <w:between w:val="none" w:color="auto" w:sz="0" w:space="0"/>
        </w:pBdr>
        <w:ind w:firstLine="632" w:firstLineChars="200"/>
        <w:rPr>
          <w:rFonts w:hint="eastAsia" w:ascii="黑体" w:hAnsi="黑体" w:eastAsia="黑体" w:cs="黑体"/>
          <w:bCs/>
          <w:snapToGrid w:val="0"/>
          <w:color w:val="auto"/>
          <w:spacing w:val="0"/>
          <w:kern w:val="2"/>
          <w:sz w:val="32"/>
          <w:szCs w:val="32"/>
          <w:lang w:val="en-US" w:eastAsia="zh-CN"/>
        </w:rPr>
      </w:pPr>
      <w:r>
        <w:rPr>
          <w:rFonts w:hint="eastAsia" w:ascii="黑体" w:hAnsi="黑体" w:eastAsia="黑体" w:cs="黑体"/>
          <w:bCs/>
          <w:snapToGrid w:val="0"/>
          <w:color w:val="auto"/>
          <w:spacing w:val="0"/>
          <w:kern w:val="2"/>
          <w:sz w:val="32"/>
          <w:szCs w:val="32"/>
          <w:lang w:val="en-US" w:eastAsia="zh-CN"/>
        </w:rPr>
        <w:t>六、申报材料</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_GB2312"/>
          <w:snapToGrid w:val="0"/>
          <w:color w:val="auto"/>
          <w:sz w:val="32"/>
          <w:szCs w:val="32"/>
        </w:rPr>
      </w:pPr>
      <w:r>
        <w:rPr>
          <w:rFonts w:hint="eastAsia" w:ascii="仿宋" w:hAnsi="仿宋" w:eastAsia="仿宋" w:cs="仿宋_GB2312"/>
          <w:snapToGrid w:val="0"/>
          <w:color w:val="auto"/>
          <w:sz w:val="32"/>
          <w:szCs w:val="32"/>
        </w:rPr>
        <w:t>（一）佛山市南海区环境保护扶持奖励申请表；</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_GB2312"/>
          <w:snapToGrid w:val="0"/>
          <w:color w:val="auto"/>
          <w:sz w:val="32"/>
          <w:szCs w:val="32"/>
        </w:rPr>
      </w:pPr>
      <w:r>
        <w:rPr>
          <w:rFonts w:hint="eastAsia" w:ascii="仿宋" w:hAnsi="仿宋" w:eastAsia="仿宋" w:cs="仿宋_GB2312"/>
          <w:snapToGrid w:val="0"/>
          <w:color w:val="auto"/>
          <w:sz w:val="32"/>
          <w:szCs w:val="32"/>
        </w:rPr>
        <w:t>（二）诚信守法承诺书；</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ascii="仿宋" w:hAnsi="仿宋" w:eastAsia="仿宋" w:cs="仿宋_GB2312"/>
          <w:snapToGrid w:val="0"/>
          <w:color w:val="auto"/>
          <w:sz w:val="32"/>
          <w:szCs w:val="32"/>
        </w:rPr>
      </w:pPr>
      <w:r>
        <w:rPr>
          <w:rFonts w:hint="eastAsia" w:ascii="仿宋" w:hAnsi="仿宋" w:eastAsia="仿宋" w:cs="仿宋_GB2312"/>
          <w:snapToGrid w:val="0"/>
          <w:color w:val="auto"/>
          <w:sz w:val="32"/>
          <w:szCs w:val="32"/>
        </w:rPr>
        <w:t>（三）营业执照</w:t>
      </w:r>
      <w:r>
        <w:rPr>
          <w:rFonts w:hint="eastAsia" w:ascii="仿宋" w:hAnsi="仿宋" w:eastAsia="仿宋" w:cs="仿宋"/>
          <w:snapToGrid w:val="0"/>
          <w:color w:val="auto"/>
          <w:sz w:val="32"/>
          <w:szCs w:val="32"/>
        </w:rPr>
        <w:t>、组织机构代码证（三证合一版本的工商营业执照不需要提供组织机构代码证）或社会团体登记证、个人身份证（居住证）</w:t>
      </w:r>
      <w:r>
        <w:rPr>
          <w:rFonts w:hint="eastAsia" w:ascii="仿宋" w:hAnsi="仿宋" w:eastAsia="仿宋" w:cs="仿宋"/>
          <w:snapToGrid w:val="0"/>
          <w:color w:val="auto"/>
          <w:sz w:val="32"/>
          <w:szCs w:val="32"/>
          <w:lang w:eastAsia="zh-CN"/>
        </w:rPr>
        <w:t>、户口簿</w:t>
      </w:r>
      <w:r>
        <w:rPr>
          <w:rFonts w:hint="eastAsia" w:ascii="仿宋" w:hAnsi="仿宋" w:eastAsia="仿宋" w:cs="仿宋"/>
          <w:snapToGrid w:val="0"/>
          <w:color w:val="auto"/>
          <w:sz w:val="32"/>
          <w:szCs w:val="32"/>
        </w:rPr>
        <w:t>等；</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ascii="仿宋" w:hAnsi="仿宋" w:eastAsia="仿宋" w:cs="仿宋_GB2312"/>
          <w:snapToGrid w:val="0"/>
          <w:color w:val="auto"/>
          <w:sz w:val="32"/>
          <w:szCs w:val="32"/>
        </w:rPr>
      </w:pPr>
      <w:r>
        <w:rPr>
          <w:rFonts w:hint="eastAsia" w:ascii="仿宋" w:hAnsi="仿宋" w:eastAsia="仿宋" w:cs="仿宋_GB2312"/>
          <w:snapToGrid w:val="0"/>
          <w:color w:val="auto"/>
          <w:sz w:val="32"/>
          <w:szCs w:val="32"/>
        </w:rPr>
        <w:t>（四）其他用于说明扶持奖励项目情况的申报证明材料，包括但不限于下列范围：</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_GB2312"/>
          <w:snapToGrid w:val="0"/>
          <w:color w:val="auto"/>
          <w:sz w:val="32"/>
          <w:szCs w:val="32"/>
        </w:rPr>
      </w:pPr>
      <w:r>
        <w:rPr>
          <w:rFonts w:hint="eastAsia" w:ascii="仿宋" w:hAnsi="仿宋" w:eastAsia="仿宋" w:cs="仿宋_GB2312"/>
          <w:snapToGrid w:val="0"/>
          <w:color w:val="auto"/>
          <w:sz w:val="32"/>
          <w:szCs w:val="32"/>
        </w:rPr>
        <w:t>1</w:t>
      </w:r>
      <w:r>
        <w:rPr>
          <w:rFonts w:hint="eastAsia" w:ascii="仿宋" w:hAnsi="仿宋" w:eastAsia="仿宋" w:cs="仿宋_GB2312"/>
          <w:snapToGrid w:val="0"/>
          <w:color w:val="auto"/>
          <w:sz w:val="32"/>
          <w:szCs w:val="32"/>
          <w:lang w:eastAsia="zh-CN"/>
        </w:rPr>
        <w:t>．</w:t>
      </w:r>
      <w:r>
        <w:rPr>
          <w:rFonts w:hint="eastAsia" w:ascii="仿宋" w:hAnsi="仿宋" w:eastAsia="仿宋" w:cs="仿宋_GB2312"/>
          <w:snapToGrid w:val="0"/>
          <w:color w:val="auto"/>
          <w:sz w:val="32"/>
          <w:szCs w:val="32"/>
        </w:rPr>
        <w:t>涉及大气污染防治技改项目的，提供项目可行性材料、环境影响评价文件和审批意见及项目验收文件、取得相应资格证书的环境工程设计单位设计的治理方案、治理工程合同、总投资金额相关合同及发票、有资质的第三方出具的最近一年四季度监测报告、环保部门的守法证明等；</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_GB2312"/>
          <w:snapToGrid w:val="0"/>
          <w:color w:val="auto"/>
          <w:sz w:val="32"/>
          <w:szCs w:val="32"/>
          <w:lang w:val="en-US" w:eastAsia="zh-CN"/>
        </w:rPr>
      </w:pPr>
      <w:r>
        <w:rPr>
          <w:rFonts w:hint="eastAsia" w:ascii="仿宋" w:hAnsi="仿宋" w:eastAsia="仿宋" w:cs="仿宋_GB2312"/>
          <w:snapToGrid w:val="0"/>
          <w:color w:val="auto"/>
          <w:sz w:val="32"/>
          <w:szCs w:val="32"/>
          <w:lang w:val="en-US" w:eastAsia="zh-CN"/>
        </w:rPr>
        <w:t>2．</w:t>
      </w:r>
      <w:r>
        <w:rPr>
          <w:rFonts w:hint="eastAsia" w:ascii="仿宋" w:hAnsi="仿宋" w:eastAsia="仿宋" w:cs="仿宋"/>
          <w:snapToGrid w:val="0"/>
          <w:color w:val="auto"/>
          <w:sz w:val="32"/>
          <w:szCs w:val="32"/>
          <w:lang w:eastAsia="zh-CN"/>
        </w:rPr>
        <w:t>涉及</w:t>
      </w:r>
      <w:r>
        <w:rPr>
          <w:rFonts w:hint="eastAsia" w:ascii="仿宋" w:hAnsi="仿宋" w:eastAsia="仿宋" w:cs="仿宋"/>
          <w:snapToGrid w:val="0"/>
          <w:color w:val="auto"/>
          <w:kern w:val="2"/>
          <w:sz w:val="32"/>
          <w:szCs w:val="32"/>
          <w:lang w:val="en-US" w:eastAsia="zh-CN"/>
        </w:rPr>
        <w:t>废水污染防治改造项目的，</w:t>
      </w:r>
      <w:r>
        <w:rPr>
          <w:rFonts w:hint="eastAsia" w:ascii="仿宋" w:hAnsi="仿宋" w:eastAsia="仿宋" w:cs="仿宋_GB2312"/>
          <w:snapToGrid w:val="0"/>
          <w:color w:val="auto"/>
          <w:sz w:val="32"/>
          <w:szCs w:val="32"/>
        </w:rPr>
        <w:t>提供项目可行性材料、环境影响评价文件和审批意见及项目验收文件、取得相应资格证书的环境工程设计单位设计的治理方案、治理工程合同、总投资金额相关合同及发票、有资质的第三方出具的最近一年四季度监测报告、环保部门的守法证明等；</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_GB2312"/>
          <w:snapToGrid w:val="0"/>
          <w:color w:val="auto"/>
          <w:sz w:val="32"/>
          <w:szCs w:val="32"/>
          <w:lang w:val="en-US" w:eastAsia="zh-CN"/>
        </w:rPr>
        <w:t>3</w:t>
      </w:r>
      <w:r>
        <w:rPr>
          <w:rFonts w:hint="eastAsia" w:ascii="仿宋" w:hAnsi="仿宋" w:eastAsia="仿宋" w:cs="仿宋_GB2312"/>
          <w:snapToGrid w:val="0"/>
          <w:color w:val="auto"/>
          <w:sz w:val="32"/>
          <w:szCs w:val="32"/>
          <w:lang w:eastAsia="zh-CN"/>
        </w:rPr>
        <w:t>．</w:t>
      </w:r>
      <w:r>
        <w:rPr>
          <w:rFonts w:hint="eastAsia" w:ascii="仿宋" w:hAnsi="仿宋" w:eastAsia="仿宋" w:cs="仿宋_GB2312"/>
          <w:snapToGrid w:val="0"/>
          <w:color w:val="auto"/>
          <w:sz w:val="32"/>
          <w:szCs w:val="32"/>
        </w:rPr>
        <w:t>涉及污染物集中治理项目建设的，提供环境影响评价文件和审批意见及项目验收文件、取得相应资格证书的环境工程设计单位设计的方案、工程合同、污染物集中治理</w:t>
      </w:r>
      <w:r>
        <w:rPr>
          <w:rFonts w:hint="eastAsia" w:ascii="仿宋" w:hAnsi="仿宋" w:eastAsia="仿宋" w:cs="仿宋_GB2312"/>
          <w:snapToGrid w:val="0"/>
          <w:color w:val="auto"/>
          <w:sz w:val="32"/>
          <w:szCs w:val="32"/>
          <w:lang w:eastAsia="zh-CN"/>
        </w:rPr>
        <w:t>设施</w:t>
      </w:r>
      <w:r>
        <w:rPr>
          <w:rFonts w:hint="eastAsia" w:ascii="仿宋" w:hAnsi="仿宋" w:eastAsia="仿宋" w:cs="仿宋_GB2312"/>
          <w:snapToGrid w:val="0"/>
          <w:color w:val="auto"/>
          <w:sz w:val="32"/>
          <w:szCs w:val="32"/>
        </w:rPr>
        <w:t>购买和安装费用合同及发票</w:t>
      </w:r>
      <w:r>
        <w:rPr>
          <w:rFonts w:hint="eastAsia" w:ascii="仿宋" w:hAnsi="仿宋" w:eastAsia="仿宋" w:cs="仿宋_GB2312"/>
          <w:snapToGrid w:val="0"/>
          <w:color w:val="auto"/>
          <w:sz w:val="32"/>
          <w:szCs w:val="32"/>
          <w:lang w:eastAsia="zh-CN"/>
        </w:rPr>
        <w:t>，污染物治理服务合同及发票</w:t>
      </w:r>
      <w:r>
        <w:rPr>
          <w:rFonts w:hint="eastAsia" w:ascii="仿宋" w:hAnsi="仿宋" w:eastAsia="仿宋" w:cs="仿宋_GB2312"/>
          <w:snapToGrid w:val="0"/>
          <w:color w:val="auto"/>
          <w:sz w:val="32"/>
          <w:szCs w:val="32"/>
        </w:rPr>
        <w:t>等；涉及</w:t>
      </w:r>
      <w:r>
        <w:rPr>
          <w:rFonts w:hint="eastAsia" w:ascii="仿宋" w:hAnsi="仿宋" w:eastAsia="仿宋" w:cs="仿宋"/>
          <w:snapToGrid w:val="0"/>
          <w:color w:val="auto"/>
          <w:sz w:val="32"/>
          <w:szCs w:val="32"/>
        </w:rPr>
        <w:t>排污企业污染物集中治理补助的</w:t>
      </w:r>
      <w:r>
        <w:rPr>
          <w:rFonts w:hint="eastAsia" w:ascii="仿宋" w:hAnsi="仿宋" w:eastAsia="仿宋" w:cs="仿宋_GB2312"/>
          <w:snapToGrid w:val="0"/>
          <w:color w:val="auto"/>
          <w:sz w:val="32"/>
          <w:szCs w:val="32"/>
        </w:rPr>
        <w:t>，提供</w:t>
      </w:r>
      <w:r>
        <w:rPr>
          <w:rFonts w:hint="eastAsia" w:ascii="仿宋" w:hAnsi="仿宋" w:eastAsia="仿宋" w:cs="仿宋"/>
          <w:snapToGrid w:val="0"/>
          <w:color w:val="auto"/>
          <w:sz w:val="32"/>
          <w:szCs w:val="32"/>
        </w:rPr>
        <w:t>企业污染治理委托合同、</w:t>
      </w:r>
      <w:r>
        <w:rPr>
          <w:rFonts w:hint="eastAsia" w:ascii="仿宋" w:hAnsi="仿宋" w:eastAsia="仿宋" w:cs="仿宋_GB2312"/>
          <w:snapToGrid w:val="0"/>
          <w:color w:val="auto"/>
          <w:sz w:val="32"/>
          <w:szCs w:val="32"/>
        </w:rPr>
        <w:t>结算凭证和付款发票、环保部门的守法证明等；</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lang w:val="en-US" w:eastAsia="zh-CN"/>
        </w:rPr>
        <w:t>4</w:t>
      </w:r>
      <w:r>
        <w:rPr>
          <w:rFonts w:hint="eastAsia" w:ascii="仿宋" w:hAnsi="仿宋" w:eastAsia="仿宋" w:cs="仿宋"/>
          <w:snapToGrid w:val="0"/>
          <w:color w:val="auto"/>
          <w:sz w:val="32"/>
          <w:szCs w:val="32"/>
          <w:lang w:eastAsia="zh-CN"/>
        </w:rPr>
        <w:t>．</w:t>
      </w:r>
      <w:r>
        <w:rPr>
          <w:rFonts w:hint="eastAsia" w:ascii="仿宋" w:hAnsi="仿宋" w:eastAsia="仿宋" w:cs="仿宋"/>
          <w:snapToGrid w:val="0"/>
          <w:color w:val="auto"/>
          <w:sz w:val="32"/>
          <w:szCs w:val="32"/>
        </w:rPr>
        <w:t>涉及环境监管辅助项目开发的，提供项目专利证书、方案、服务合同及发票、项目效益评估报告等；</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_GB2312"/>
          <w:snapToGrid w:val="0"/>
          <w:color w:val="auto"/>
          <w:sz w:val="32"/>
          <w:szCs w:val="32"/>
        </w:rPr>
      </w:pPr>
      <w:r>
        <w:rPr>
          <w:rFonts w:hint="eastAsia" w:ascii="仿宋" w:hAnsi="仿宋" w:eastAsia="仿宋" w:cs="仿宋"/>
          <w:snapToGrid w:val="0"/>
          <w:color w:val="auto"/>
          <w:sz w:val="32"/>
          <w:szCs w:val="32"/>
          <w:lang w:val="en-US" w:eastAsia="zh-CN"/>
        </w:rPr>
        <w:t>5</w:t>
      </w:r>
      <w:r>
        <w:rPr>
          <w:rFonts w:hint="eastAsia" w:ascii="仿宋" w:hAnsi="仿宋" w:eastAsia="仿宋" w:cs="仿宋"/>
          <w:snapToGrid w:val="0"/>
          <w:color w:val="auto"/>
          <w:sz w:val="32"/>
          <w:szCs w:val="32"/>
          <w:lang w:eastAsia="zh-CN"/>
        </w:rPr>
        <w:t>．</w:t>
      </w:r>
      <w:r>
        <w:rPr>
          <w:rFonts w:hint="eastAsia" w:ascii="仿宋" w:hAnsi="仿宋" w:eastAsia="仿宋" w:cs="仿宋"/>
          <w:snapToGrid w:val="0"/>
          <w:color w:val="auto"/>
          <w:sz w:val="32"/>
          <w:szCs w:val="32"/>
        </w:rPr>
        <w:t>涉及村级工业园区管理机构建设的，提供机构建设方案、规划环评文件、产业发展规划、环保监督和问题上报制度（包含落实证明资料</w:t>
      </w:r>
      <w:r>
        <w:rPr>
          <w:rFonts w:hint="eastAsia" w:ascii="仿宋" w:hAnsi="仿宋" w:eastAsia="仿宋" w:cs="仿宋_GB2312"/>
          <w:snapToGrid w:val="0"/>
          <w:color w:val="auto"/>
          <w:sz w:val="32"/>
          <w:szCs w:val="32"/>
        </w:rPr>
        <w:t>）、企业信息台账、环境信息公示牌照片等；</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_GB2312"/>
          <w:snapToGrid w:val="0"/>
          <w:color w:val="auto"/>
          <w:sz w:val="32"/>
          <w:szCs w:val="32"/>
        </w:rPr>
      </w:pPr>
      <w:r>
        <w:rPr>
          <w:rFonts w:hint="eastAsia" w:ascii="仿宋" w:hAnsi="仿宋" w:eastAsia="仿宋" w:cs="仿宋_GB2312"/>
          <w:snapToGrid w:val="0"/>
          <w:color w:val="auto"/>
          <w:sz w:val="32"/>
          <w:szCs w:val="32"/>
          <w:lang w:val="en-US" w:eastAsia="zh-CN"/>
        </w:rPr>
        <w:t>6</w:t>
      </w:r>
      <w:r>
        <w:rPr>
          <w:rFonts w:hint="eastAsia" w:ascii="仿宋" w:hAnsi="仿宋" w:eastAsia="仿宋" w:cs="仿宋_GB2312"/>
          <w:snapToGrid w:val="0"/>
          <w:color w:val="auto"/>
          <w:sz w:val="32"/>
          <w:szCs w:val="32"/>
          <w:lang w:eastAsia="zh-CN"/>
        </w:rPr>
        <w:t>．</w:t>
      </w:r>
      <w:r>
        <w:rPr>
          <w:rFonts w:hint="eastAsia" w:ascii="仿宋" w:hAnsi="仿宋" w:eastAsia="仿宋" w:cs="仿宋_GB2312"/>
          <w:snapToGrid w:val="0"/>
          <w:color w:val="auto"/>
          <w:sz w:val="32"/>
          <w:szCs w:val="32"/>
        </w:rPr>
        <w:t>涉及环境管理研究的，提供研究成果，如有相关证书或其他有利于项目评审的材料可一并提供；</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_GB2312"/>
          <w:snapToGrid w:val="0"/>
          <w:color w:val="auto"/>
          <w:sz w:val="32"/>
          <w:szCs w:val="32"/>
        </w:rPr>
      </w:pPr>
      <w:r>
        <w:rPr>
          <w:rFonts w:hint="eastAsia" w:ascii="仿宋" w:hAnsi="仿宋" w:eastAsia="仿宋" w:cs="仿宋_GB2312"/>
          <w:snapToGrid w:val="0"/>
          <w:color w:val="auto"/>
          <w:sz w:val="32"/>
          <w:szCs w:val="32"/>
          <w:lang w:val="en-US" w:eastAsia="zh-CN"/>
        </w:rPr>
        <w:t>7</w:t>
      </w:r>
      <w:r>
        <w:rPr>
          <w:rFonts w:hint="eastAsia" w:ascii="仿宋" w:hAnsi="仿宋" w:eastAsia="仿宋" w:cs="仿宋_GB2312"/>
          <w:snapToGrid w:val="0"/>
          <w:color w:val="auto"/>
          <w:sz w:val="32"/>
          <w:szCs w:val="32"/>
          <w:lang w:eastAsia="zh-CN"/>
        </w:rPr>
        <w:t>．</w:t>
      </w:r>
      <w:r>
        <w:rPr>
          <w:rFonts w:hint="eastAsia" w:ascii="仿宋" w:hAnsi="仿宋" w:eastAsia="仿宋" w:cs="仿宋_GB2312"/>
          <w:snapToGrid w:val="0"/>
          <w:color w:val="auto"/>
          <w:sz w:val="32"/>
          <w:szCs w:val="32"/>
        </w:rPr>
        <w:t>涉及环境责任保险的，提供环境责任保险有效期内的保险费发票、保险合同等；</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_GB2312"/>
          <w:snapToGrid w:val="0"/>
          <w:color w:val="auto"/>
          <w:sz w:val="32"/>
          <w:szCs w:val="32"/>
          <w:lang w:eastAsia="zh-CN"/>
        </w:rPr>
      </w:pPr>
      <w:r>
        <w:rPr>
          <w:rFonts w:hint="eastAsia" w:ascii="仿宋" w:hAnsi="仿宋" w:eastAsia="仿宋" w:cs="仿宋_GB2312"/>
          <w:snapToGrid w:val="0"/>
          <w:color w:val="auto"/>
          <w:sz w:val="32"/>
          <w:szCs w:val="32"/>
          <w:lang w:val="en-US" w:eastAsia="zh-CN"/>
        </w:rPr>
        <w:t>8</w:t>
      </w:r>
      <w:r>
        <w:rPr>
          <w:rFonts w:hint="eastAsia" w:ascii="仿宋" w:hAnsi="仿宋" w:eastAsia="仿宋" w:cs="仿宋_GB2312"/>
          <w:snapToGrid w:val="0"/>
          <w:color w:val="auto"/>
          <w:sz w:val="32"/>
          <w:szCs w:val="32"/>
          <w:lang w:eastAsia="zh-CN"/>
        </w:rPr>
        <w:t>．</w:t>
      </w:r>
      <w:r>
        <w:rPr>
          <w:rFonts w:hint="eastAsia" w:ascii="仿宋" w:hAnsi="仿宋" w:eastAsia="仿宋" w:cs="仿宋_GB2312"/>
          <w:snapToGrid w:val="0"/>
          <w:color w:val="auto"/>
          <w:sz w:val="32"/>
          <w:szCs w:val="32"/>
        </w:rPr>
        <w:t>涉及工业危险废物收集转运效率项目的，提供危险废物处置合同及发票、危废管理计划、危废转移联单、危废管理台账等，并须加盖企业公章</w:t>
      </w:r>
      <w:r>
        <w:rPr>
          <w:rFonts w:hint="eastAsia" w:ascii="仿宋" w:hAnsi="仿宋" w:eastAsia="仿宋" w:cs="仿宋_GB2312"/>
          <w:snapToGrid w:val="0"/>
          <w:color w:val="auto"/>
          <w:sz w:val="32"/>
          <w:szCs w:val="32"/>
          <w:lang w:eastAsia="zh-CN"/>
        </w:rPr>
        <w:t>；</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_GB2312"/>
          <w:snapToGrid w:val="0"/>
          <w:color w:val="auto"/>
          <w:sz w:val="32"/>
          <w:szCs w:val="32"/>
        </w:rPr>
      </w:pPr>
      <w:r>
        <w:rPr>
          <w:rFonts w:hint="eastAsia" w:ascii="仿宋" w:hAnsi="仿宋" w:eastAsia="仿宋" w:cs="仿宋_GB2312"/>
          <w:snapToGrid w:val="0"/>
          <w:color w:val="auto"/>
          <w:sz w:val="32"/>
          <w:szCs w:val="32"/>
          <w:lang w:val="en-US" w:eastAsia="zh-CN"/>
        </w:rPr>
        <w:t>9．涉及</w:t>
      </w:r>
      <w:r>
        <w:rPr>
          <w:rFonts w:hint="eastAsia" w:ascii="仿宋" w:hAnsi="仿宋" w:eastAsia="仿宋" w:cs="仿宋_GB2312"/>
          <w:snapToGrid w:val="0"/>
          <w:color w:val="auto"/>
          <w:sz w:val="32"/>
          <w:szCs w:val="32"/>
          <w:lang w:eastAsia="zh-CN"/>
        </w:rPr>
        <w:t>其它污染防治示范项目的，</w:t>
      </w:r>
      <w:r>
        <w:rPr>
          <w:rFonts w:hint="eastAsia" w:ascii="仿宋" w:hAnsi="仿宋" w:eastAsia="仿宋" w:cs="仿宋_GB2312"/>
          <w:snapToGrid w:val="0"/>
          <w:color w:val="auto"/>
          <w:sz w:val="32"/>
          <w:szCs w:val="32"/>
        </w:rPr>
        <w:t>提供项目可行性材料、环境影响评价文件和审批意见及项目验收文件、取得相应资格证书的环境工程设计单位设计的治理方案、治理工程合同、总投资金额相关合同及发票、有资质的第三方出具的最近一年四季度监测报告、环保部门的守法证明等；</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_GB2312"/>
          <w:snapToGrid w:val="0"/>
          <w:color w:val="auto"/>
          <w:sz w:val="32"/>
          <w:szCs w:val="32"/>
        </w:rPr>
      </w:pPr>
      <w:r>
        <w:rPr>
          <w:rFonts w:hint="eastAsia" w:ascii="仿宋" w:hAnsi="仿宋" w:eastAsia="仿宋" w:cs="仿宋_GB2312"/>
          <w:snapToGrid w:val="0"/>
          <w:color w:val="auto"/>
          <w:sz w:val="32"/>
          <w:szCs w:val="32"/>
          <w:lang w:val="en-US" w:eastAsia="zh-CN"/>
        </w:rPr>
        <w:t>10</w:t>
      </w:r>
      <w:r>
        <w:rPr>
          <w:rFonts w:hint="eastAsia" w:ascii="仿宋" w:hAnsi="仿宋" w:eastAsia="仿宋" w:cs="仿宋_GB2312"/>
          <w:snapToGrid w:val="0"/>
          <w:color w:val="auto"/>
          <w:sz w:val="32"/>
          <w:szCs w:val="32"/>
          <w:lang w:eastAsia="zh-CN"/>
        </w:rPr>
        <w:t>．</w:t>
      </w:r>
      <w:r>
        <w:rPr>
          <w:rFonts w:hint="eastAsia" w:ascii="仿宋" w:hAnsi="仿宋" w:eastAsia="仿宋" w:cs="仿宋_GB2312"/>
          <w:snapToGrid w:val="0"/>
          <w:color w:val="auto"/>
          <w:sz w:val="32"/>
          <w:szCs w:val="32"/>
        </w:rPr>
        <w:t>投资额500万以上项目需提交具有工程咨询或工程设计资质的单位编制的可行性研究报告等；</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_GB2312"/>
          <w:snapToGrid w:val="0"/>
          <w:color w:val="auto"/>
          <w:sz w:val="32"/>
          <w:szCs w:val="32"/>
        </w:rPr>
      </w:pPr>
      <w:r>
        <w:rPr>
          <w:rFonts w:hint="eastAsia" w:ascii="仿宋" w:hAnsi="仿宋" w:eastAsia="仿宋" w:cs="仿宋_GB2312"/>
          <w:snapToGrid w:val="0"/>
          <w:color w:val="auto"/>
          <w:sz w:val="32"/>
          <w:szCs w:val="32"/>
          <w:lang w:val="en-US" w:eastAsia="zh-CN"/>
        </w:rPr>
        <w:t>11</w:t>
      </w:r>
      <w:r>
        <w:rPr>
          <w:rFonts w:hint="eastAsia" w:ascii="仿宋" w:hAnsi="仿宋" w:eastAsia="仿宋" w:cs="仿宋_GB2312"/>
          <w:snapToGrid w:val="0"/>
          <w:color w:val="auto"/>
          <w:sz w:val="32"/>
          <w:szCs w:val="32"/>
          <w:lang w:eastAsia="zh-CN"/>
        </w:rPr>
        <w:t>．</w:t>
      </w:r>
      <w:r>
        <w:rPr>
          <w:rFonts w:hint="eastAsia" w:ascii="仿宋" w:hAnsi="仿宋" w:eastAsia="仿宋" w:cs="仿宋_GB2312"/>
          <w:snapToGrid w:val="0"/>
          <w:color w:val="auto"/>
          <w:sz w:val="32"/>
          <w:szCs w:val="32"/>
        </w:rPr>
        <w:t>区</w:t>
      </w:r>
      <w:r>
        <w:rPr>
          <w:rFonts w:hint="eastAsia" w:ascii="仿宋" w:hAnsi="仿宋" w:eastAsia="仿宋" w:cs="仿宋"/>
          <w:snapToGrid w:val="0"/>
          <w:color w:val="auto"/>
          <w:sz w:val="32"/>
          <w:szCs w:val="32"/>
        </w:rPr>
        <w:t>环境保护局</w:t>
      </w:r>
      <w:r>
        <w:rPr>
          <w:rFonts w:hint="eastAsia" w:ascii="仿宋" w:hAnsi="仿宋" w:eastAsia="仿宋" w:cs="仿宋_GB2312"/>
          <w:snapToGrid w:val="0"/>
          <w:color w:val="auto"/>
          <w:sz w:val="32"/>
          <w:szCs w:val="32"/>
        </w:rPr>
        <w:t>认为需要提供补充的其他材料。</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ins w:id="0" w:author="胡月(UE000615)" w:date="2019-04-23T16:30:20Z"/>
          <w:rFonts w:hint="eastAsia" w:ascii="仿宋" w:hAnsi="仿宋" w:eastAsia="仿宋" w:cs="仿宋_GB2312"/>
          <w:snapToGrid w:val="0"/>
          <w:color w:val="auto"/>
          <w:sz w:val="32"/>
          <w:szCs w:val="32"/>
        </w:rPr>
      </w:pPr>
      <w:r>
        <w:rPr>
          <w:rFonts w:hint="eastAsia" w:ascii="仿宋" w:hAnsi="仿宋" w:eastAsia="仿宋" w:cs="仿宋_GB2312"/>
          <w:snapToGrid w:val="0"/>
          <w:color w:val="auto"/>
          <w:sz w:val="32"/>
          <w:szCs w:val="32"/>
        </w:rPr>
        <w:t>以上相关材料复印件一式四份，并带原件备查。</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_GB2312"/>
          <w:snapToGrid w:val="0"/>
          <w:color w:val="auto"/>
          <w:sz w:val="32"/>
          <w:szCs w:val="32"/>
          <w:lang w:eastAsia="zh-CN"/>
        </w:rPr>
      </w:pPr>
      <w:r>
        <w:rPr>
          <w:rFonts w:hint="eastAsia" w:ascii="仿宋" w:hAnsi="仿宋" w:eastAsia="仿宋" w:cs="仿宋_GB2312"/>
          <w:snapToGrid w:val="0"/>
          <w:color w:val="auto"/>
          <w:sz w:val="32"/>
          <w:szCs w:val="32"/>
          <w:lang w:eastAsia="zh-CN"/>
        </w:rPr>
        <w:t>解读：</w:t>
      </w:r>
    </w:p>
    <w:p>
      <w:pPr>
        <w:pStyle w:val="14"/>
        <w:keepNext w:val="0"/>
        <w:keepLines w:val="0"/>
        <w:pageBreakBefore w:val="0"/>
        <w:widowControl w:val="0"/>
        <w:numPr>
          <w:ilvl w:val="0"/>
          <w:numId w:val="6"/>
        </w:numPr>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_GB2312"/>
          <w:snapToGrid w:val="0"/>
          <w:color w:val="auto"/>
          <w:sz w:val="32"/>
          <w:szCs w:val="32"/>
          <w:lang w:val="en-US" w:eastAsia="zh-CN"/>
        </w:rPr>
      </w:pPr>
      <w:r>
        <w:rPr>
          <w:rFonts w:hint="eastAsia" w:ascii="仿宋" w:hAnsi="仿宋" w:eastAsia="仿宋" w:cs="仿宋_GB2312"/>
          <w:snapToGrid w:val="0"/>
          <w:color w:val="auto"/>
          <w:sz w:val="32"/>
          <w:szCs w:val="32"/>
          <w:lang w:val="en-US" w:eastAsia="zh-CN"/>
        </w:rPr>
        <w:t>以上材料复印一式四份，盖公章（个人按指模），并带原件备查。</w:t>
      </w:r>
    </w:p>
    <w:p>
      <w:pPr>
        <w:pStyle w:val="14"/>
        <w:keepNext w:val="0"/>
        <w:keepLines w:val="0"/>
        <w:pageBreakBefore w:val="0"/>
        <w:widowControl w:val="0"/>
        <w:numPr>
          <w:ilvl w:val="0"/>
          <w:numId w:val="6"/>
        </w:numPr>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default" w:ascii="仿宋" w:hAnsi="仿宋" w:eastAsia="仿宋" w:cs="仿宋_GB2312"/>
          <w:snapToGrid w:val="0"/>
          <w:color w:val="auto"/>
          <w:sz w:val="32"/>
          <w:szCs w:val="32"/>
          <w:lang w:val="en-US" w:eastAsia="zh-CN"/>
        </w:rPr>
      </w:pPr>
      <w:r>
        <w:rPr>
          <w:rFonts w:hint="eastAsia" w:ascii="仿宋" w:hAnsi="仿宋" w:eastAsia="仿宋" w:cs="仿宋_GB2312"/>
          <w:snapToGrid w:val="0"/>
          <w:color w:val="auto"/>
          <w:sz w:val="32"/>
          <w:szCs w:val="32"/>
          <w:lang w:val="en-US" w:eastAsia="zh-CN"/>
        </w:rPr>
        <w:t>若在审核过程中需补充相关材料，申报对应应予以配合。</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黑体" w:hAnsi="黑体" w:eastAsia="黑体" w:cs="黑体"/>
          <w:bCs/>
          <w:snapToGrid w:val="0"/>
          <w:color w:val="auto"/>
          <w:spacing w:val="0"/>
          <w:kern w:val="2"/>
          <w:sz w:val="32"/>
          <w:szCs w:val="32"/>
          <w:lang w:val="en-US" w:eastAsia="zh-CN" w:bidi="ar-SA"/>
        </w:rPr>
      </w:pPr>
      <w:r>
        <w:rPr>
          <w:rFonts w:hint="eastAsia" w:ascii="黑体" w:hAnsi="黑体" w:eastAsia="黑体" w:cs="黑体"/>
          <w:bCs/>
          <w:snapToGrid w:val="0"/>
          <w:color w:val="auto"/>
          <w:spacing w:val="0"/>
          <w:kern w:val="2"/>
          <w:sz w:val="32"/>
          <w:szCs w:val="32"/>
          <w:lang w:val="en-US" w:eastAsia="zh-CN" w:bidi="ar-SA"/>
        </w:rPr>
        <w:t>七、其他应注意事项</w:t>
      </w:r>
    </w:p>
    <w:p>
      <w:pPr>
        <w:pStyle w:val="13"/>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黑体" w:hAnsi="黑体" w:eastAsia="黑体" w:cs="黑体"/>
          <w:snapToGrid w:val="0"/>
          <w:color w:val="auto"/>
          <w:sz w:val="32"/>
          <w:szCs w:val="32"/>
          <w:lang w:eastAsia="zh-CN"/>
        </w:rPr>
        <w:t>（一）</w:t>
      </w:r>
      <w:r>
        <w:rPr>
          <w:rFonts w:hint="eastAsia" w:ascii="仿宋" w:hAnsi="仿宋" w:eastAsia="仿宋" w:cs="仿宋"/>
          <w:snapToGrid w:val="0"/>
          <w:color w:val="auto"/>
          <w:sz w:val="32"/>
          <w:szCs w:val="32"/>
        </w:rPr>
        <w:t>本</w:t>
      </w:r>
      <w:r>
        <w:rPr>
          <w:rFonts w:hint="eastAsia" w:ascii="仿宋" w:hAnsi="仿宋" w:eastAsia="仿宋" w:cs="仿宋"/>
          <w:snapToGrid w:val="0"/>
          <w:color w:val="auto"/>
          <w:sz w:val="32"/>
          <w:szCs w:val="32"/>
          <w:lang w:eastAsia="zh-CN"/>
        </w:rPr>
        <w:t>《办法》</w:t>
      </w:r>
      <w:r>
        <w:rPr>
          <w:rFonts w:hint="eastAsia" w:ascii="仿宋" w:hAnsi="仿宋" w:eastAsia="仿宋" w:cs="仿宋"/>
          <w:snapToGrid w:val="0"/>
          <w:color w:val="auto"/>
          <w:sz w:val="32"/>
          <w:szCs w:val="32"/>
        </w:rPr>
        <w:t>所称工业企业，是指《国民经济行业分类》国家标准中制造业类别的企业。</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黑体" w:hAnsi="黑体" w:eastAsia="黑体" w:cs="黑体"/>
          <w:snapToGrid w:val="0"/>
          <w:color w:val="auto"/>
          <w:sz w:val="32"/>
          <w:szCs w:val="32"/>
          <w:lang w:eastAsia="zh-CN"/>
        </w:rPr>
        <w:t>（二）</w:t>
      </w:r>
      <w:r>
        <w:rPr>
          <w:rFonts w:hint="eastAsia" w:ascii="仿宋" w:hAnsi="仿宋" w:eastAsia="仿宋" w:cs="仿宋"/>
          <w:snapToGrid w:val="0"/>
          <w:color w:val="auto"/>
          <w:sz w:val="32"/>
          <w:szCs w:val="32"/>
        </w:rPr>
        <w:t>符合本</w:t>
      </w:r>
      <w:r>
        <w:rPr>
          <w:rFonts w:hint="eastAsia" w:ascii="仿宋" w:hAnsi="仿宋" w:eastAsia="仿宋" w:cs="仿宋"/>
          <w:snapToGrid w:val="0"/>
          <w:color w:val="auto"/>
          <w:sz w:val="32"/>
          <w:szCs w:val="32"/>
          <w:lang w:eastAsia="zh-CN"/>
        </w:rPr>
        <w:t>《办法》</w:t>
      </w:r>
      <w:r>
        <w:rPr>
          <w:rFonts w:hint="eastAsia" w:ascii="仿宋" w:hAnsi="仿宋" w:eastAsia="仿宋" w:cs="仿宋"/>
          <w:snapToGrid w:val="0"/>
          <w:color w:val="auto"/>
          <w:sz w:val="32"/>
          <w:szCs w:val="32"/>
        </w:rPr>
        <w:t>扶持奖励规定的个人、企业或项目若同时符合我区其他扶持奖励政策的同类优惠条件，或同时符合本办法的同项不同条款时，按照“从高不重复”的原则，享受一种政策奖励或补助。</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黑体" w:hAnsi="黑体" w:eastAsia="黑体" w:cs="黑体"/>
          <w:snapToGrid w:val="0"/>
          <w:color w:val="auto"/>
          <w:sz w:val="32"/>
          <w:szCs w:val="32"/>
          <w:lang w:eastAsia="zh-CN"/>
        </w:rPr>
        <w:t>（三）</w:t>
      </w:r>
      <w:r>
        <w:rPr>
          <w:rFonts w:hint="eastAsia" w:ascii="仿宋" w:hAnsi="仿宋" w:eastAsia="仿宋" w:cs="仿宋"/>
          <w:snapToGrid w:val="0"/>
          <w:color w:val="auto"/>
          <w:sz w:val="32"/>
          <w:szCs w:val="32"/>
        </w:rPr>
        <w:t>凡有下列情况之一者，不得申请环境保护扶持奖励：</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lang w:val="en-US" w:eastAsia="zh-CN"/>
        </w:rPr>
        <w:t>1、</w:t>
      </w:r>
      <w:r>
        <w:rPr>
          <w:rFonts w:hint="eastAsia" w:ascii="仿宋" w:hAnsi="仿宋" w:eastAsia="仿宋" w:cs="仿宋"/>
          <w:snapToGrid w:val="0"/>
          <w:color w:val="auto"/>
          <w:sz w:val="32"/>
          <w:szCs w:val="32"/>
        </w:rPr>
        <w:t>近3年内有环境、质量、安全、卫生及其他责任事故、违法记录、行政处罚的；</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lang w:val="en-US" w:eastAsia="zh-CN"/>
        </w:rPr>
        <w:t>2、</w:t>
      </w:r>
      <w:r>
        <w:rPr>
          <w:rFonts w:hint="eastAsia" w:ascii="仿宋" w:hAnsi="仿宋" w:eastAsia="仿宋" w:cs="仿宋"/>
          <w:snapToGrid w:val="0"/>
          <w:color w:val="auto"/>
          <w:sz w:val="32"/>
          <w:szCs w:val="32"/>
        </w:rPr>
        <w:t>近2年被列入环境信用评价“红牌企业名单”、环境服务机构“黑名单”、失信联合惩戒名单或其他不良行为记录名单的；</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lang w:val="en-US" w:eastAsia="zh-CN"/>
        </w:rPr>
        <w:t>3、</w:t>
      </w:r>
      <w:r>
        <w:rPr>
          <w:rFonts w:hint="eastAsia" w:ascii="仿宋" w:hAnsi="仿宋" w:eastAsia="仿宋" w:cs="仿宋"/>
          <w:snapToGrid w:val="0"/>
          <w:color w:val="auto"/>
          <w:sz w:val="32"/>
          <w:szCs w:val="32"/>
        </w:rPr>
        <w:t>有其他违反法律、法规行为的。</w:t>
      </w:r>
    </w:p>
    <w:p>
      <w:pPr>
        <w:pStyle w:val="13"/>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lang w:eastAsia="zh-CN"/>
        </w:rPr>
        <w:t>（四）</w:t>
      </w:r>
      <w:r>
        <w:rPr>
          <w:rFonts w:hint="eastAsia" w:ascii="仿宋" w:hAnsi="仿宋" w:eastAsia="仿宋" w:cs="仿宋"/>
          <w:snapToGrid w:val="0"/>
          <w:color w:val="auto"/>
          <w:sz w:val="32"/>
          <w:szCs w:val="32"/>
        </w:rPr>
        <w:t>申请单位应提供真实的材料和凭证，如有弄虚作假或者违法违规等不良行为的，一经核实，追回已拨付的全部资金，并依法追究责任，3年内不受理其扶持奖励申请，将其列入不诚信名单。</w:t>
      </w:r>
    </w:p>
    <w:p>
      <w:pPr>
        <w:pStyle w:val="13"/>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lang w:eastAsia="zh-CN"/>
        </w:rPr>
      </w:pPr>
      <w:r>
        <w:rPr>
          <w:rFonts w:hint="eastAsia" w:ascii="仿宋" w:hAnsi="仿宋" w:eastAsia="仿宋" w:cs="仿宋"/>
          <w:snapToGrid w:val="0"/>
          <w:color w:val="auto"/>
          <w:sz w:val="32"/>
          <w:szCs w:val="32"/>
          <w:lang w:eastAsia="zh-CN"/>
        </w:rPr>
        <w:t>（五）</w:t>
      </w:r>
      <w:r>
        <w:rPr>
          <w:rFonts w:hint="eastAsia" w:ascii="仿宋" w:hAnsi="仿宋" w:eastAsia="仿宋" w:cs="仿宋"/>
          <w:snapToGrid w:val="0"/>
          <w:color w:val="auto"/>
          <w:sz w:val="32"/>
          <w:szCs w:val="32"/>
          <w:lang w:eastAsia="zh-CN"/>
        </w:rPr>
        <w:t>在本《办法》印发前已实施的项目，经区政府同意，可按本办法给予扶持奖励。</w:t>
      </w:r>
    </w:p>
    <w:p>
      <w:pPr>
        <w:pStyle w:val="14"/>
        <w:keepNext w:val="0"/>
        <w:keepLines w:val="0"/>
        <w:pageBreakBefore w:val="0"/>
        <w:widowControl w:val="0"/>
        <w:numPr>
          <w:ilvl w:val="0"/>
          <w:numId w:val="0"/>
        </w:numPr>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right="0" w:rightChars="0" w:firstLine="632" w:firstLineChars="200"/>
        <w:jc w:val="left"/>
        <w:textAlignment w:val="auto"/>
        <w:outlineLvl w:val="9"/>
        <w:rPr>
          <w:rFonts w:hint="eastAsia" w:ascii="仿宋" w:hAnsi="仿宋" w:eastAsia="仿宋" w:cs="仿宋"/>
          <w:snapToGrid w:val="0"/>
          <w:color w:val="auto"/>
          <w:kern w:val="2"/>
          <w:sz w:val="32"/>
          <w:szCs w:val="32"/>
          <w:lang w:val="en-US" w:eastAsia="zh-CN"/>
        </w:rPr>
      </w:pPr>
      <w:r>
        <w:rPr>
          <w:rFonts w:hint="eastAsia" w:ascii="仿宋" w:hAnsi="仿宋" w:eastAsia="仿宋" w:cs="仿宋"/>
          <w:snapToGrid w:val="0"/>
          <w:color w:val="auto"/>
          <w:sz w:val="32"/>
          <w:szCs w:val="32"/>
          <w:lang w:eastAsia="zh-CN"/>
        </w:rPr>
        <w:t>解读：</w:t>
      </w:r>
    </w:p>
    <w:p>
      <w:pPr>
        <w:pStyle w:val="14"/>
        <w:keepNext w:val="0"/>
        <w:keepLines w:val="0"/>
        <w:pageBreakBefore w:val="0"/>
        <w:widowControl w:val="0"/>
        <w:numPr>
          <w:ilvl w:val="0"/>
          <w:numId w:val="0"/>
        </w:numPr>
        <w:pBdr>
          <w:top w:val="none" w:color="000000" w:sz="0" w:space="0"/>
          <w:left w:val="none" w:color="000000" w:sz="0" w:space="0"/>
          <w:bottom w:val="none" w:color="000000" w:sz="0" w:space="0"/>
          <w:right w:val="none" w:color="000000" w:sz="0" w:space="0"/>
          <w:between w:val="none" w:color="auto" w:sz="0" w:space="0"/>
        </w:pBdr>
        <w:kinsoku/>
        <w:wordWrap/>
        <w:overflowPunct w:val="0"/>
        <w:topLinePunct w:val="0"/>
        <w:autoSpaceDE/>
        <w:autoSpaceDN/>
        <w:bidi w:val="0"/>
        <w:adjustRightInd/>
        <w:snapToGrid/>
        <w:spacing w:line="240" w:lineRule="auto"/>
        <w:ind w:right="0" w:rightChars="0" w:firstLine="632" w:firstLineChars="200"/>
        <w:jc w:val="left"/>
        <w:textAlignment w:val="auto"/>
        <w:outlineLvl w:val="9"/>
        <w:rPr>
          <w:rFonts w:hint="eastAsia" w:ascii="仿宋" w:hAnsi="仿宋" w:eastAsia="仿宋" w:cs="仿宋"/>
          <w:snapToGrid w:val="0"/>
          <w:color w:val="auto"/>
          <w:sz w:val="32"/>
          <w:szCs w:val="32"/>
          <w:lang w:eastAsia="zh-CN"/>
        </w:rPr>
      </w:pPr>
      <w:r>
        <w:rPr>
          <w:rFonts w:hint="eastAsia" w:ascii="仿宋" w:hAnsi="仿宋" w:eastAsia="仿宋" w:cs="仿宋"/>
          <w:snapToGrid w:val="0"/>
          <w:color w:val="auto"/>
          <w:kern w:val="2"/>
          <w:sz w:val="32"/>
          <w:szCs w:val="32"/>
          <w:lang w:eastAsia="zh-CN"/>
        </w:rPr>
        <w:t>本办法印发前已实施建成的项目应在2019年度提出申报，经区政府同意后可按本办法给予扶持奖励，2019年后不再受理本办法印发前实施建成的项目。</w:t>
      </w:r>
    </w:p>
    <w:p>
      <w:pPr>
        <w:keepNext w:val="0"/>
        <w:keepLines w:val="0"/>
        <w:pageBreakBefore w:val="0"/>
        <w:widowControl w:val="0"/>
        <w:numPr>
          <w:ilvl w:val="0"/>
          <w:numId w:val="0"/>
        </w:numPr>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黑体" w:hAnsi="黑体" w:eastAsia="黑体" w:cs="黑体"/>
          <w:bCs/>
          <w:snapToGrid w:val="0"/>
          <w:color w:val="auto"/>
          <w:spacing w:val="0"/>
          <w:kern w:val="2"/>
          <w:sz w:val="32"/>
          <w:szCs w:val="32"/>
          <w:lang w:eastAsia="zh-CN"/>
        </w:rPr>
      </w:pPr>
      <w:r>
        <w:rPr>
          <w:rFonts w:hint="eastAsia" w:ascii="黑体" w:hAnsi="黑体" w:eastAsia="黑体" w:cs="黑体"/>
          <w:bCs/>
          <w:snapToGrid w:val="0"/>
          <w:color w:val="auto"/>
          <w:spacing w:val="0"/>
          <w:kern w:val="2"/>
          <w:sz w:val="32"/>
          <w:szCs w:val="32"/>
          <w:lang w:eastAsia="zh-CN"/>
        </w:rPr>
        <w:t>八、适用期限</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74" w:firstLineChars="150"/>
        <w:jc w:val="both"/>
        <w:textAlignment w:val="auto"/>
        <w:rPr>
          <w:rFonts w:hint="eastAsia" w:ascii="仿宋" w:hAnsi="仿宋" w:eastAsia="仿宋" w:cs="仿宋"/>
          <w:snapToGrid w:val="0"/>
          <w:color w:val="auto"/>
          <w:sz w:val="32"/>
          <w:szCs w:val="32"/>
        </w:rPr>
      </w:pPr>
      <w:r>
        <w:rPr>
          <w:rFonts w:hint="eastAsia" w:ascii="仿宋" w:hAnsi="仿宋" w:eastAsia="仿宋"/>
          <w:snapToGrid w:val="0"/>
          <w:color w:val="auto"/>
          <w:spacing w:val="0"/>
          <w:kern w:val="2"/>
          <w:lang w:val="en-US" w:eastAsia="zh-CN"/>
        </w:rPr>
        <w:t>本《办法》自2018年10月9日起施行，有效期至</w:t>
      </w:r>
      <w:r>
        <w:rPr>
          <w:rFonts w:hint="eastAsia" w:ascii="仿宋" w:hAnsi="仿宋" w:eastAsia="仿宋" w:cs="仿宋"/>
          <w:snapToGrid w:val="0"/>
          <w:color w:val="auto"/>
          <w:sz w:val="32"/>
          <w:szCs w:val="32"/>
        </w:rPr>
        <w:t>2023年7月31日。</w:t>
      </w:r>
      <w:r>
        <w:rPr>
          <w:rFonts w:hint="eastAsia" w:ascii="仿宋" w:hAnsi="仿宋" w:eastAsia="仿宋"/>
          <w:snapToGrid w:val="0"/>
          <w:color w:val="auto"/>
          <w:spacing w:val="0"/>
          <w:kern w:val="2"/>
          <w:lang w:val="en-US" w:eastAsia="zh-CN"/>
        </w:rPr>
        <w:t>有效期内成功申请扶持奖励的，依照本《办法》执行，直至奖励结束。</w:t>
      </w:r>
    </w:p>
    <w:p>
      <w:pPr>
        <w:pStyle w:val="13"/>
        <w:keepNext w:val="0"/>
        <w:keepLines w:val="0"/>
        <w:pageBreakBefore w:val="0"/>
        <w:widowControl w:val="0"/>
        <w:kinsoku/>
        <w:wordWrap/>
        <w:overflowPunct w:val="0"/>
        <w:topLinePunct w:val="0"/>
        <w:autoSpaceDE/>
        <w:autoSpaceDN/>
        <w:bidi w:val="0"/>
        <w:adjustRightInd/>
        <w:snapToGrid/>
        <w:spacing w:line="240" w:lineRule="auto"/>
        <w:ind w:left="0" w:leftChars="0" w:right="0" w:rightChars="0" w:firstLine="632" w:firstLineChars="200"/>
        <w:jc w:val="both"/>
        <w:textAlignment w:val="auto"/>
        <w:outlineLvl w:val="9"/>
        <w:rPr>
          <w:rFonts w:hint="eastAsia" w:ascii="仿宋" w:hAnsi="仿宋" w:eastAsia="仿宋" w:cs="FangSong_GB2312"/>
          <w:snapToGrid w:val="0"/>
          <w:color w:val="auto"/>
          <w:kern w:val="2"/>
        </w:rPr>
      </w:pPr>
    </w:p>
    <w:p>
      <w:pPr>
        <w:pStyle w:val="13"/>
        <w:keepNext w:val="0"/>
        <w:keepLines w:val="0"/>
        <w:pageBreakBefore w:val="0"/>
        <w:widowControl w:val="0"/>
        <w:kinsoku/>
        <w:wordWrap/>
        <w:overflowPunct w:val="0"/>
        <w:topLinePunct w:val="0"/>
        <w:autoSpaceDE/>
        <w:autoSpaceDN/>
        <w:bidi w:val="0"/>
        <w:adjustRightInd/>
        <w:snapToGrid/>
        <w:spacing w:line="240" w:lineRule="auto"/>
        <w:ind w:right="0" w:rightChars="0"/>
        <w:jc w:val="both"/>
        <w:textAlignment w:val="auto"/>
        <w:outlineLvl w:val="9"/>
        <w:rPr>
          <w:rFonts w:hint="eastAsia" w:ascii="仿宋" w:hAnsi="仿宋" w:eastAsia="仿宋" w:cs="仿宋"/>
          <w:snapToGrid w:val="0"/>
          <w:color w:val="auto"/>
          <w:sz w:val="32"/>
          <w:szCs w:val="32"/>
          <w:lang w:val="en-US" w:eastAsia="zh-CN"/>
        </w:rPr>
      </w:pPr>
    </w:p>
    <w:p>
      <w:pPr>
        <w:pStyle w:val="13"/>
        <w:keepNext w:val="0"/>
        <w:keepLines w:val="0"/>
        <w:pageBreakBefore w:val="0"/>
        <w:widowControl w:val="0"/>
        <w:kinsoku/>
        <w:wordWrap/>
        <w:overflowPunct w:val="0"/>
        <w:topLinePunct w:val="0"/>
        <w:autoSpaceDE/>
        <w:autoSpaceDN/>
        <w:bidi w:val="0"/>
        <w:adjustRightInd/>
        <w:snapToGrid/>
        <w:spacing w:line="240" w:lineRule="auto"/>
        <w:ind w:right="0" w:rightChars="0"/>
        <w:jc w:val="both"/>
        <w:textAlignment w:val="auto"/>
        <w:outlineLvl w:val="9"/>
        <w:rPr>
          <w:rFonts w:hint="eastAsia" w:ascii="仿宋" w:hAnsi="仿宋" w:eastAsia="仿宋" w:cs="仿宋"/>
          <w:snapToGrid w:val="0"/>
          <w:color w:val="auto"/>
          <w:sz w:val="32"/>
          <w:szCs w:val="32"/>
          <w:lang w:val="en-US" w:eastAsia="zh-CN"/>
        </w:rPr>
      </w:pPr>
    </w:p>
    <w:p>
      <w:pPr>
        <w:pStyle w:val="16"/>
        <w:keepNext w:val="0"/>
        <w:keepLines w:val="0"/>
        <w:pageBreakBefore w:val="0"/>
        <w:widowControl w:val="0"/>
        <w:kinsoku/>
        <w:wordWrap/>
        <w:overflowPunct w:val="0"/>
        <w:topLinePunct w:val="0"/>
        <w:autoSpaceDE/>
        <w:autoSpaceDN/>
        <w:bidi w:val="0"/>
        <w:adjustRightInd/>
        <w:snapToGrid/>
        <w:spacing w:line="240" w:lineRule="auto"/>
        <w:ind w:left="0" w:leftChars="0" w:right="632" w:rightChars="200"/>
        <w:jc w:val="right"/>
        <w:textAlignment w:val="auto"/>
        <w:outlineLvl w:val="9"/>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 xml:space="preserve">佛山市南海区环境保护局 </w:t>
      </w:r>
    </w:p>
    <w:p>
      <w:pPr>
        <w:pStyle w:val="16"/>
        <w:keepNext w:val="0"/>
        <w:keepLines w:val="0"/>
        <w:pageBreakBefore w:val="0"/>
        <w:widowControl w:val="0"/>
        <w:kinsoku/>
        <w:wordWrap/>
        <w:overflowPunct w:val="0"/>
        <w:topLinePunct w:val="0"/>
        <w:autoSpaceDE/>
        <w:autoSpaceDN/>
        <w:bidi w:val="0"/>
        <w:adjustRightInd/>
        <w:snapToGrid/>
        <w:spacing w:line="240" w:lineRule="auto"/>
        <w:ind w:left="0" w:leftChars="0" w:right="1264" w:rightChars="400"/>
        <w:jc w:val="right"/>
        <w:textAlignment w:val="auto"/>
        <w:outlineLvl w:val="9"/>
        <w:rPr>
          <w:rFonts w:hint="eastAsia" w:ascii="仿宋" w:hAnsi="仿宋" w:eastAsia="仿宋" w:cs="仿宋"/>
          <w:snapToGrid w:val="0"/>
          <w:color w:val="auto"/>
          <w:sz w:val="32"/>
          <w:szCs w:val="32"/>
        </w:rPr>
      </w:pPr>
      <w:r>
        <w:rPr>
          <w:rFonts w:hint="eastAsia" w:ascii="仿宋" w:hAnsi="仿宋" w:eastAsia="仿宋" w:cs="仿宋"/>
          <w:snapToGrid w:val="0"/>
          <w:color w:val="auto"/>
          <w:sz w:val="32"/>
          <w:szCs w:val="32"/>
        </w:rPr>
        <w:t>201</w:t>
      </w:r>
      <w:r>
        <w:rPr>
          <w:rFonts w:hint="eastAsia" w:ascii="仿宋" w:hAnsi="仿宋" w:eastAsia="仿宋" w:cs="仿宋"/>
          <w:snapToGrid w:val="0"/>
          <w:color w:val="auto"/>
          <w:sz w:val="32"/>
          <w:szCs w:val="32"/>
          <w:lang w:val="en-US" w:eastAsia="zh-CN"/>
        </w:rPr>
        <w:t>8</w:t>
      </w:r>
      <w:r>
        <w:rPr>
          <w:rFonts w:hint="eastAsia" w:ascii="仿宋" w:hAnsi="仿宋" w:eastAsia="仿宋" w:cs="仿宋"/>
          <w:snapToGrid w:val="0"/>
          <w:color w:val="auto"/>
          <w:sz w:val="32"/>
          <w:szCs w:val="32"/>
        </w:rPr>
        <w:t>年</w:t>
      </w:r>
      <w:r>
        <w:rPr>
          <w:rFonts w:hint="eastAsia" w:ascii="仿宋" w:hAnsi="仿宋" w:eastAsia="仿宋" w:cs="仿宋"/>
          <w:snapToGrid w:val="0"/>
          <w:color w:val="auto"/>
          <w:sz w:val="32"/>
          <w:szCs w:val="32"/>
          <w:lang w:val="en-US" w:eastAsia="zh-CN"/>
        </w:rPr>
        <w:t>11</w:t>
      </w:r>
      <w:r>
        <w:rPr>
          <w:rFonts w:hint="eastAsia" w:ascii="仿宋" w:hAnsi="仿宋" w:eastAsia="仿宋" w:cs="仿宋"/>
          <w:snapToGrid w:val="0"/>
          <w:color w:val="auto"/>
          <w:sz w:val="32"/>
          <w:szCs w:val="32"/>
        </w:rPr>
        <w:t>月</w:t>
      </w:r>
      <w:r>
        <w:rPr>
          <w:rFonts w:hint="eastAsia" w:ascii="仿宋" w:hAnsi="仿宋" w:eastAsia="仿宋" w:cs="仿宋"/>
          <w:snapToGrid w:val="0"/>
          <w:color w:val="auto"/>
          <w:sz w:val="32"/>
          <w:szCs w:val="32"/>
          <w:lang w:val="en-US" w:eastAsia="zh-CN"/>
        </w:rPr>
        <w:t>20</w:t>
      </w:r>
      <w:r>
        <w:rPr>
          <w:rFonts w:hint="eastAsia" w:ascii="仿宋" w:hAnsi="仿宋" w:eastAsia="仿宋" w:cs="仿宋"/>
          <w:snapToGrid w:val="0"/>
          <w:color w:val="auto"/>
          <w:sz w:val="32"/>
          <w:szCs w:val="32"/>
        </w:rPr>
        <w:t>日</w:t>
      </w:r>
    </w:p>
    <w:p>
      <w:pPr>
        <w:pStyle w:val="13"/>
        <w:keepNext w:val="0"/>
        <w:keepLines w:val="0"/>
        <w:pageBreakBefore w:val="0"/>
        <w:widowControl w:val="0"/>
        <w:kinsoku/>
        <w:wordWrap/>
        <w:overflowPunct w:val="0"/>
        <w:topLinePunct w:val="0"/>
        <w:autoSpaceDE/>
        <w:autoSpaceDN/>
        <w:bidi w:val="0"/>
        <w:adjustRightInd/>
        <w:snapToGrid/>
        <w:spacing w:line="240" w:lineRule="auto"/>
        <w:ind w:right="0" w:rightChars="0"/>
        <w:jc w:val="both"/>
        <w:textAlignment w:val="auto"/>
        <w:outlineLvl w:val="9"/>
        <w:rPr>
          <w:rFonts w:hint="default" w:ascii="仿宋" w:hAnsi="仿宋" w:eastAsia="仿宋" w:cs="FangSong_GB2312"/>
          <w:snapToGrid w:val="0"/>
          <w:color w:val="000000"/>
          <w:kern w:val="2"/>
          <w:lang w:val="en-US" w:eastAsia="zh-CN"/>
        </w:rPr>
      </w:pPr>
      <w:r>
        <w:rPr>
          <w:rFonts w:hint="eastAsia" w:ascii="仿宋" w:hAnsi="仿宋" w:eastAsia="仿宋" w:cs="FangSong_GB2312"/>
          <w:snapToGrid w:val="0"/>
          <w:color w:val="000000"/>
          <w:kern w:val="2"/>
          <w:lang w:val="en-US" w:eastAsia="zh-CN"/>
        </w:rPr>
        <w:t xml:space="preserve">  （联系人：胡月，联系电话：86393653）</w:t>
      </w:r>
    </w:p>
    <w:p/>
    <w:sectPr>
      <w:footerReference r:id="rId3" w:type="default"/>
      <w:pgSz w:w="11906" w:h="16838"/>
      <w:pgMar w:top="2098" w:right="1474" w:bottom="1417" w:left="1588" w:header="851" w:footer="1020" w:gutter="0"/>
      <w:cols w:space="720" w:num="1"/>
      <w:rtlGutter w:val="0"/>
      <w:docGrid w:type="linesAndChars" w:linePitch="605"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3"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FangSong_GB2312">
    <w:altName w:val="仿宋"/>
    <w:panose1 w:val="02010609060101010101"/>
    <w:charset w:val="86"/>
    <w:family w:val="modern"/>
    <w:pitch w:val="default"/>
    <w:sig w:usb0="00000000" w:usb1="00000000"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keepNext w:val="0"/>
                            <w:keepLines w:val="0"/>
                            <w:pageBreakBefore w:val="0"/>
                            <w:widowControl w:val="0"/>
                            <w:kinsoku/>
                            <w:wordWrap/>
                            <w:overflowPunct/>
                            <w:topLinePunct w:val="0"/>
                            <w:autoSpaceDE/>
                            <w:autoSpaceDN/>
                            <w:bidi w:val="0"/>
                            <w:adjustRightInd/>
                            <w:snapToGrid w:val="0"/>
                            <w:spacing w:line="240" w:lineRule="auto"/>
                            <w:ind w:left="320" w:leftChars="100" w:right="320" w:rightChars="100" w:firstLine="0" w:firstLineChars="0"/>
                            <w:jc w:val="both"/>
                            <w:textAlignment w:val="auto"/>
                            <w:outlineLvl w:val="9"/>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val="en-US" w:eastAsia="zh-CN"/>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op6x7gBAABUAwAADgAAAGRycy9lMm9Eb2MueG1srVPBThsxEL1X4h8s&#10;35tdgkDpKg6iQqBKVUECPsDx2llLtseynezmB+gf9MSl935XvoOxkw0VvVVcvDOe8Zv3Zmbnl4M1&#10;ZCND1OAYPZ3UlEgnoNVuxejT483nGSUxcddyA04yupWRXi5OPs1738gpdGBaGQiCuNj0ntEuJd9U&#10;VRSdtDxOwEuHQQXB8oRuWFVt4D2iW1NN6/qi6iG0PoCQMeLt9T5IFwVfKSnSnVJRJmIYRW6pnKGc&#10;y3xWizlvVoH7TosDDf4fLCzXDoseoa554mQd9D9QVosAEVSaCLAVKKWFLBpQzWn9Ts1Dx70sWrA5&#10;0R/bFD8OVvzY3AeiW0bPKHHc4oh2v37uXv7sfj+Ts9ye3scGsx485qXhKww45vE+4mVWPahg8xf1&#10;EIxjo7fH5sohEZEfzaazWY0hgbHRQfzq7bkPMd1KsCQbjAacXmkq33yPaZ86puRqDm60MWWCxpGe&#10;0S/n0/Py4BhBcOOwRhaxJ5utNCyHg7IltFsU1uMGMOpwRSkx3xw2OC/LaITRWI7G2ge96so2ZSbR&#10;X60Tsikkc4U97KEwjq7IPKxZ3o2//ZL19jMsXg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5op6x7gBAABUAwAADgAAAAAAAAABACAAAAAeAQAAZHJzL2Uyb0RvYy54bWxQSwUGAAAAAAYABgBZ&#10;AQAASAUAAAAA&#10;">
              <v:fill on="f" focussize="0,0"/>
              <v:stroke on="f"/>
              <v:imagedata o:title=""/>
              <o:lock v:ext="edit" aspectratio="f"/>
              <v:textbox inset="0mm,0mm,0mm,0mm" style="mso-fit-shape-to-text:t;">
                <w:txbxContent>
                  <w:p>
                    <w:pPr>
                      <w:keepNext w:val="0"/>
                      <w:keepLines w:val="0"/>
                      <w:pageBreakBefore w:val="0"/>
                      <w:widowControl w:val="0"/>
                      <w:kinsoku/>
                      <w:wordWrap/>
                      <w:overflowPunct/>
                      <w:topLinePunct w:val="0"/>
                      <w:autoSpaceDE/>
                      <w:autoSpaceDN/>
                      <w:bidi w:val="0"/>
                      <w:adjustRightInd/>
                      <w:snapToGrid w:val="0"/>
                      <w:spacing w:line="240" w:lineRule="auto"/>
                      <w:ind w:left="320" w:leftChars="100" w:right="320" w:rightChars="100" w:firstLine="0" w:firstLineChars="0"/>
                      <w:jc w:val="both"/>
                      <w:textAlignment w:val="auto"/>
                      <w:outlineLvl w:val="9"/>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val="en-US" w:eastAsia="zh-CN"/>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6FBCB50"/>
    <w:multiLevelType w:val="singleLevel"/>
    <w:tmpl w:val="96FBCB50"/>
    <w:lvl w:ilvl="0" w:tentative="0">
      <w:start w:val="1"/>
      <w:numFmt w:val="decimal"/>
      <w:suff w:val="nothing"/>
      <w:lvlText w:val="%1、"/>
      <w:lvlJc w:val="left"/>
    </w:lvl>
  </w:abstractNum>
  <w:abstractNum w:abstractNumId="1">
    <w:nsid w:val="AA52E228"/>
    <w:multiLevelType w:val="singleLevel"/>
    <w:tmpl w:val="AA52E228"/>
    <w:lvl w:ilvl="0" w:tentative="0">
      <w:start w:val="1"/>
      <w:numFmt w:val="decimal"/>
      <w:suff w:val="nothing"/>
      <w:lvlText w:val="%1、"/>
      <w:lvlJc w:val="left"/>
    </w:lvl>
  </w:abstractNum>
  <w:abstractNum w:abstractNumId="2">
    <w:nsid w:val="BB221716"/>
    <w:multiLevelType w:val="singleLevel"/>
    <w:tmpl w:val="BB221716"/>
    <w:lvl w:ilvl="0" w:tentative="0">
      <w:start w:val="1"/>
      <w:numFmt w:val="chineseCounting"/>
      <w:suff w:val="nothing"/>
      <w:lvlText w:val="（%1）"/>
      <w:lvlJc w:val="left"/>
      <w:rPr>
        <w:rFonts w:hint="eastAsia"/>
      </w:rPr>
    </w:lvl>
  </w:abstractNum>
  <w:abstractNum w:abstractNumId="3">
    <w:nsid w:val="C2067F60"/>
    <w:multiLevelType w:val="singleLevel"/>
    <w:tmpl w:val="C2067F60"/>
    <w:lvl w:ilvl="0" w:tentative="0">
      <w:start w:val="1"/>
      <w:numFmt w:val="decimal"/>
      <w:suff w:val="nothing"/>
      <w:lvlText w:val="%1、"/>
      <w:lvlJc w:val="left"/>
    </w:lvl>
  </w:abstractNum>
  <w:abstractNum w:abstractNumId="4">
    <w:nsid w:val="0DD5F493"/>
    <w:multiLevelType w:val="singleLevel"/>
    <w:tmpl w:val="0DD5F493"/>
    <w:lvl w:ilvl="0" w:tentative="0">
      <w:start w:val="1"/>
      <w:numFmt w:val="decimal"/>
      <w:suff w:val="nothing"/>
      <w:lvlText w:val="%1、"/>
      <w:lvlJc w:val="left"/>
    </w:lvl>
  </w:abstractNum>
  <w:abstractNum w:abstractNumId="5">
    <w:nsid w:val="2CF437A8"/>
    <w:multiLevelType w:val="singleLevel"/>
    <w:tmpl w:val="2CF437A8"/>
    <w:lvl w:ilvl="0" w:tentative="0">
      <w:start w:val="1"/>
      <w:numFmt w:val="decimal"/>
      <w:suff w:val="nothing"/>
      <w:lvlText w:val="%1、"/>
      <w:lvlJc w:val="left"/>
    </w:lvl>
  </w:abstractNum>
  <w:num w:numId="1">
    <w:abstractNumId w:val="2"/>
  </w:num>
  <w:num w:numId="2">
    <w:abstractNumId w:val="4"/>
  </w:num>
  <w:num w:numId="3">
    <w:abstractNumId w:val="1"/>
  </w:num>
  <w:num w:numId="4">
    <w:abstractNumId w:val="5"/>
  </w:num>
  <w:num w:numId="5">
    <w:abstractNumId w:val="3"/>
  </w:num>
  <w:num w:numId="6">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胡月(UE000615)">
    <w15:presenceInfo w15:providerId="None" w15:userId="胡月(UE00061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3A38A2"/>
    <w:rsid w:val="012518F6"/>
    <w:rsid w:val="068E09EF"/>
    <w:rsid w:val="0930592D"/>
    <w:rsid w:val="09CB33EB"/>
    <w:rsid w:val="0A314089"/>
    <w:rsid w:val="0B503B73"/>
    <w:rsid w:val="0D1A1B15"/>
    <w:rsid w:val="15FE77C1"/>
    <w:rsid w:val="198D7340"/>
    <w:rsid w:val="1D2715E2"/>
    <w:rsid w:val="1E7A58AC"/>
    <w:rsid w:val="25616B4C"/>
    <w:rsid w:val="25B2224E"/>
    <w:rsid w:val="29D71AFE"/>
    <w:rsid w:val="2BA20E50"/>
    <w:rsid w:val="2BBB19D4"/>
    <w:rsid w:val="2E61797E"/>
    <w:rsid w:val="3356121D"/>
    <w:rsid w:val="336F7DC0"/>
    <w:rsid w:val="3BC94C4D"/>
    <w:rsid w:val="3CF770E7"/>
    <w:rsid w:val="43656DE3"/>
    <w:rsid w:val="443A38A2"/>
    <w:rsid w:val="449F71BD"/>
    <w:rsid w:val="47816F21"/>
    <w:rsid w:val="4847523D"/>
    <w:rsid w:val="48DF64C8"/>
    <w:rsid w:val="4BF80188"/>
    <w:rsid w:val="4C2F2BC8"/>
    <w:rsid w:val="502E67E3"/>
    <w:rsid w:val="5100658A"/>
    <w:rsid w:val="51604928"/>
    <w:rsid w:val="5A2D5D50"/>
    <w:rsid w:val="5C355F5C"/>
    <w:rsid w:val="679177E9"/>
    <w:rsid w:val="6B6A0388"/>
    <w:rsid w:val="726701BE"/>
    <w:rsid w:val="7406437D"/>
    <w:rsid w:val="775502D6"/>
    <w:rsid w:val="7B0E7D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2"/>
      <w:szCs w:val="32"/>
      <w:lang w:val="en-US" w:eastAsia="zh-CN" w:bidi="ar-SA"/>
    </w:rPr>
  </w:style>
  <w:style w:type="paragraph" w:styleId="2">
    <w:name w:val="heading 1"/>
    <w:basedOn w:val="1"/>
    <w:next w:val="1"/>
    <w:qFormat/>
    <w:uiPriority w:val="0"/>
    <w:pPr>
      <w:keepNext/>
      <w:keepLines/>
      <w:spacing w:before="340" w:beforeLines="0" w:after="330" w:afterLines="0" w:line="578" w:lineRule="auto"/>
      <w:ind w:firstLine="0"/>
      <w:outlineLvl w:val="0"/>
    </w:pPr>
    <w:rPr>
      <w:rFonts w:eastAsia="宋体"/>
      <w:b/>
      <w:bCs/>
      <w:kern w:val="44"/>
      <w:sz w:val="44"/>
      <w:szCs w:val="44"/>
    </w:rPr>
  </w:style>
  <w:style w:type="character" w:default="1" w:styleId="7">
    <w:name w:val="Default Paragraph Font"/>
    <w:link w:val="8"/>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100" w:beforeLines="0" w:beforeAutospacing="1" w:after="100" w:afterLines="0" w:afterAutospacing="1"/>
      <w:ind w:left="0" w:right="0"/>
      <w:jc w:val="left"/>
    </w:pPr>
    <w:rPr>
      <w:kern w:val="0"/>
      <w:sz w:val="24"/>
      <w:szCs w:val="20"/>
      <w:lang w:val="en-US" w:eastAsia="zh-CN" w:bidi="ar-SA"/>
    </w:rPr>
  </w:style>
  <w:style w:type="paragraph" w:customStyle="1" w:styleId="8">
    <w:name w:val="默认段落字体 Para Char"/>
    <w:basedOn w:val="9"/>
    <w:next w:val="9"/>
    <w:link w:val="7"/>
    <w:qFormat/>
    <w:uiPriority w:val="0"/>
    <w:pPr>
      <w:spacing w:line="360" w:lineRule="auto"/>
      <w:ind w:firstLine="200" w:firstLineChars="200"/>
    </w:pPr>
  </w:style>
  <w:style w:type="paragraph" w:customStyle="1" w:styleId="9">
    <w:name w:val="正文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lang w:val="en-US" w:eastAsia="zh-CN" w:bidi="ar-SA"/>
    </w:rPr>
  </w:style>
  <w:style w:type="character" w:styleId="10">
    <w:name w:val="FollowedHyperlink"/>
    <w:basedOn w:val="7"/>
    <w:qFormat/>
    <w:uiPriority w:val="0"/>
    <w:rPr>
      <w:color w:val="333333"/>
      <w:u w:val="none"/>
    </w:rPr>
  </w:style>
  <w:style w:type="character" w:styleId="11">
    <w:name w:val="Emphasis"/>
    <w:basedOn w:val="7"/>
    <w:qFormat/>
    <w:uiPriority w:val="0"/>
    <w:rPr>
      <w:i/>
    </w:rPr>
  </w:style>
  <w:style w:type="character" w:styleId="12">
    <w:name w:val="Hyperlink"/>
    <w:basedOn w:val="7"/>
    <w:qFormat/>
    <w:uiPriority w:val="0"/>
    <w:rPr>
      <w:color w:val="333333"/>
      <w:u w:val="none"/>
    </w:rPr>
  </w:style>
  <w:style w:type="paragraph" w:customStyle="1" w:styleId="13">
    <w:name w:val="正文 New New New New New New New New New New New New New New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FangSong_GB2312" w:cs="Times New Roman"/>
      <w:kern w:val="2"/>
      <w:sz w:val="32"/>
      <w:szCs w:val="32"/>
      <w:lang w:val="en-US" w:eastAsia="zh-CN" w:bidi="ar-SA"/>
    </w:rPr>
  </w:style>
  <w:style w:type="paragraph" w:customStyle="1" w:styleId="14">
    <w:name w:val="正文 New New New New New New New New New New New New New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仿宋_GB2312" w:cs="Times New Roman"/>
      <w:kern w:val="2"/>
      <w:sz w:val="32"/>
      <w:szCs w:val="32"/>
      <w:lang w:val="en-US" w:eastAsia="zh-CN" w:bidi="ar-SA"/>
    </w:rPr>
  </w:style>
  <w:style w:type="paragraph" w:customStyle="1" w:styleId="15">
    <w:name w:val="Default"/>
    <w:qFormat/>
    <w:uiPriority w:val="0"/>
    <w:pPr>
      <w:widowControl w:val="0"/>
      <w:autoSpaceDE w:val="0"/>
      <w:autoSpaceDN w:val="0"/>
      <w:adjustRightInd w:val="0"/>
    </w:pPr>
    <w:rPr>
      <w:rFonts w:ascii="宋体" w:hAnsi="Times New Roman" w:eastAsia="宋体" w:cs="宋体"/>
      <w:color w:val="000000"/>
      <w:kern w:val="0"/>
      <w:sz w:val="24"/>
      <w:szCs w:val="24"/>
      <w:lang w:val="en-US" w:eastAsia="zh-CN" w:bidi="ar-SA"/>
    </w:rPr>
  </w:style>
  <w:style w:type="paragraph" w:customStyle="1" w:styleId="16">
    <w:name w:val="正文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character" w:customStyle="1" w:styleId="17">
    <w:name w:val="layui-layer-tabnow"/>
    <w:basedOn w:val="7"/>
    <w:qFormat/>
    <w:uiPriority w:val="0"/>
    <w:rPr>
      <w:bdr w:val="single" w:color="CCCCCC" w:sz="6" w:space="0"/>
      <w:shd w:val="clear" w:fill="FFFFFF"/>
    </w:rPr>
  </w:style>
  <w:style w:type="character" w:customStyle="1" w:styleId="18">
    <w:name w:val="xh"/>
    <w:basedOn w:val="7"/>
    <w:qFormat/>
    <w:uiPriority w:val="0"/>
  </w:style>
  <w:style w:type="character" w:customStyle="1" w:styleId="19">
    <w:name w:val="iconfont"/>
    <w:basedOn w:val="7"/>
    <w:qFormat/>
    <w:uiPriority w:val="0"/>
    <w:rPr>
      <w:sz w:val="40"/>
      <w:szCs w:val="40"/>
    </w:rPr>
  </w:style>
  <w:style w:type="character" w:customStyle="1" w:styleId="20">
    <w:name w:val="iconfont1"/>
    <w:basedOn w:val="7"/>
    <w:qFormat/>
    <w:uiPriority w:val="0"/>
  </w:style>
  <w:style w:type="character" w:customStyle="1" w:styleId="21">
    <w:name w:val="iconfont2"/>
    <w:basedOn w:val="7"/>
    <w:qFormat/>
    <w:uiPriority w:val="0"/>
    <w:rPr>
      <w:sz w:val="30"/>
      <w:szCs w:val="30"/>
    </w:rPr>
  </w:style>
  <w:style w:type="character" w:customStyle="1" w:styleId="22">
    <w:name w:val="iconfont3"/>
    <w:basedOn w:val="7"/>
    <w:qFormat/>
    <w:uiPriority w:val="0"/>
    <w:rPr>
      <w:color w:val="FFFFFF"/>
      <w:sz w:val="90"/>
      <w:szCs w:val="90"/>
    </w:rPr>
  </w:style>
  <w:style w:type="character" w:customStyle="1" w:styleId="23">
    <w:name w:val="iconfont4"/>
    <w:basedOn w:val="7"/>
    <w:qFormat/>
    <w:uiPriority w:val="0"/>
    <w:rPr>
      <w:color w:val="AAAAAA"/>
      <w:sz w:val="28"/>
      <w:szCs w:val="28"/>
    </w:rPr>
  </w:style>
  <w:style w:type="character" w:customStyle="1" w:styleId="24">
    <w:name w:val="iconfont5"/>
    <w:basedOn w:val="7"/>
    <w:qFormat/>
    <w:uiPriority w:val="0"/>
    <w:rPr>
      <w:color w:val="EE8000"/>
    </w:rPr>
  </w:style>
  <w:style w:type="character" w:customStyle="1" w:styleId="25">
    <w:name w:val="mc"/>
    <w:basedOn w:val="7"/>
    <w:qFormat/>
    <w:uiPriority w:val="0"/>
  </w:style>
  <w:style w:type="character" w:customStyle="1" w:styleId="26">
    <w:name w:val="syh"/>
    <w:basedOn w:val="7"/>
    <w:qFormat/>
    <w:uiPriority w:val="0"/>
  </w:style>
  <w:style w:type="character" w:customStyle="1" w:styleId="27">
    <w:name w:val="fwrq"/>
    <w:basedOn w:val="7"/>
    <w:qFormat/>
    <w:uiPriority w:val="0"/>
  </w:style>
  <w:style w:type="character" w:customStyle="1" w:styleId="28">
    <w:name w:val="p2"/>
    <w:basedOn w:val="7"/>
    <w:qFormat/>
    <w:uiPriority w:val="0"/>
    <w:rPr>
      <w:color w:val="EB9519"/>
      <w:shd w:val="clear" w:fill="FFF0CB"/>
    </w:rPr>
  </w:style>
  <w:style w:type="character" w:customStyle="1" w:styleId="29">
    <w:name w:val="on10"/>
    <w:basedOn w:val="7"/>
    <w:qFormat/>
    <w:uiPriority w:val="0"/>
    <w:rPr>
      <w:color w:val="FFFFFF"/>
      <w:shd w:val="clear" w:fill="4A9AF3"/>
    </w:rPr>
  </w:style>
  <w:style w:type="character" w:customStyle="1" w:styleId="30">
    <w:name w:val="first-child"/>
    <w:basedOn w:val="7"/>
    <w:qFormat/>
    <w:uiPriority w:val="0"/>
  </w:style>
  <w:style w:type="character" w:customStyle="1" w:styleId="31">
    <w:name w:val="on"/>
    <w:basedOn w:val="7"/>
    <w:qFormat/>
    <w:uiPriority w:val="0"/>
    <w:rPr>
      <w:color w:val="FFFFFF"/>
      <w:shd w:val="clear" w:fill="4A9AF3"/>
    </w:rPr>
  </w:style>
  <w:style w:type="character" w:customStyle="1" w:styleId="32">
    <w:name w:val="iconfont6"/>
    <w:basedOn w:val="7"/>
    <w:qFormat/>
    <w:uiPriority w:val="0"/>
    <w:rPr>
      <w:sz w:val="30"/>
      <w:szCs w:val="30"/>
    </w:rPr>
  </w:style>
  <w:style w:type="character" w:customStyle="1" w:styleId="33">
    <w:name w:val="iconfont7"/>
    <w:basedOn w:val="7"/>
    <w:qFormat/>
    <w:uiPriority w:val="0"/>
    <w:rPr>
      <w:color w:val="FFFFFF"/>
      <w:sz w:val="90"/>
      <w:szCs w:val="90"/>
    </w:rPr>
  </w:style>
  <w:style w:type="character" w:customStyle="1" w:styleId="34">
    <w:name w:val="iconfont8"/>
    <w:basedOn w:val="7"/>
    <w:qFormat/>
    <w:uiPriority w:val="0"/>
    <w:rPr>
      <w:color w:val="AAAAAA"/>
      <w:sz w:val="28"/>
      <w:szCs w:val="28"/>
    </w:rPr>
  </w:style>
  <w:style w:type="character" w:customStyle="1" w:styleId="35">
    <w:name w:val="iconfont9"/>
    <w:basedOn w:val="7"/>
    <w:qFormat/>
    <w:uiPriority w:val="0"/>
    <w:rPr>
      <w:color w:val="EE8000"/>
    </w:rPr>
  </w:style>
</w:styles>
</file>

<file path=word/_rels/document.xml.rels><?xml version="1.0" encoding="UTF-8" standalone="yes"?>
<Relationships xmlns="http://schemas.openxmlformats.org/package/2006/relationships"><Relationship Id="rId8" Type="http://schemas.microsoft.com/office/2011/relationships/people" Target="people.xml"/><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Office_11.1.0.8612_F1E327BC-269C-435d-A152-05C5408002CA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2018-10-19T08:39:00Z</dcterms:created>
  <dc:creator>胡月(UE000615)</dc:creator>
  <cp:lastModifiedBy>胡月(UE000615)</cp:lastModifiedBy>
  <cp:lastPrinted>2019-04-26T04:02:00Z</cp:lastPrinted>
  <dcterms:modified xsi:type="dcterms:W3CDTF">2019-04-28T03:16:50Z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2052-11.1.0.8612</vt:lpwstr>
  </property>
</Properties>
</file>